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2"/>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全自动清洗消毒器</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全自动清洗消毒器</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eastAsia="zh-CN"/>
        </w:rPr>
        <w:t>全自动清洗消毒器</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712"/>
        <w:gridCol w:w="2029"/>
        <w:gridCol w:w="1981"/>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40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预算</w:t>
            </w:r>
            <w:r>
              <w:rPr>
                <w:rFonts w:hint="eastAsia" w:ascii="Times New Roman" w:hAnsi="Times New Roman"/>
                <w:b/>
                <w:color w:val="auto"/>
                <w:sz w:val="24"/>
              </w:rPr>
              <w:t>单价</w:t>
            </w:r>
            <w:r>
              <w:rPr>
                <w:rFonts w:ascii="Times New Roman" w:hAnsi="Times New Roman"/>
                <w:b/>
                <w:color w:val="auto"/>
                <w:sz w:val="24"/>
              </w:rPr>
              <w:t>（万元）</w:t>
            </w:r>
          </w:p>
        </w:tc>
        <w:tc>
          <w:tcPr>
            <w:tcW w:w="11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预算</w:t>
            </w:r>
            <w:r>
              <w:rPr>
                <w:rFonts w:ascii="Times New Roman" w:hAnsi="Times New Roman"/>
                <w:b/>
                <w:color w:val="auto"/>
                <w:sz w:val="24"/>
              </w:rPr>
              <w:t>总价</w:t>
            </w:r>
            <w:r>
              <w:rPr>
                <w:rFonts w:hint="eastAsia" w:ascii="Times New Roman" w:hAnsi="Times New Roman"/>
                <w:b/>
                <w:color w:val="auto"/>
                <w:sz w:val="24"/>
              </w:rPr>
              <w:t>（万元）</w:t>
            </w:r>
          </w:p>
        </w:tc>
        <w:tc>
          <w:tcPr>
            <w:tcW w:w="12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全自动清洗消毒器</w:t>
            </w:r>
          </w:p>
        </w:tc>
        <w:tc>
          <w:tcPr>
            <w:tcW w:w="40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29</w:t>
            </w:r>
          </w:p>
        </w:tc>
        <w:tc>
          <w:tcPr>
            <w:tcW w:w="11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29</w:t>
            </w:r>
          </w:p>
        </w:tc>
        <w:tc>
          <w:tcPr>
            <w:tcW w:w="12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b w:val="0"/>
          <w:bCs w:val="0"/>
          <w:color w:val="auto"/>
          <w:sz w:val="24"/>
        </w:rPr>
        <w:t>20</w:t>
      </w:r>
      <w:r>
        <w:rPr>
          <w:rFonts w:ascii="Times New Roman" w:hAnsi="Times New Roman"/>
          <w:color w:val="auto"/>
          <w:sz w:val="24"/>
        </w:rPr>
        <w:t>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12</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14</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14</w:t>
      </w:r>
      <w:r>
        <w:rPr>
          <w:rFonts w:ascii="Times New Roman" w:hAnsi="Times New Roman"/>
          <w:b w:val="0"/>
          <w:bCs/>
          <w:color w:val="auto"/>
          <w:kern w:val="0"/>
          <w:sz w:val="24"/>
        </w:rPr>
        <w:t>日14时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hint="eastAsia" w:ascii="Times New Roman" w:hAnsi="Times New Roman" w:eastAsia="宋体"/>
          <w:b/>
          <w:color w:val="auto"/>
          <w:kern w:val="0"/>
          <w:sz w:val="24"/>
          <w:lang w:eastAsia="zh-CN"/>
        </w:rPr>
      </w:pPr>
      <w:r>
        <w:rPr>
          <w:rFonts w:hint="eastAsia" w:ascii="Times New Roman" w:hAnsi="Times New Roman"/>
          <w:b/>
          <w:bCs/>
          <w:color w:val="auto"/>
          <w:sz w:val="24"/>
        </w:rPr>
        <w:t>九、比选文件详见附件</w:t>
      </w:r>
      <w:r>
        <w:rPr>
          <w:rFonts w:hint="eastAsia" w:ascii="Times New Roman" w:hAnsi="Times New Roman"/>
          <w:b/>
          <w:bCs/>
          <w:color w:val="auto"/>
          <w:sz w:val="24"/>
          <w:lang w:eastAsia="zh-CN"/>
        </w:rPr>
        <w:t>。</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7</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关于全自动清洗消毒器采购的比选文件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eastAsia="zh-CN"/>
        </w:rPr>
        <w:t>全自动清洗消毒器</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全自动清洗消毒器</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51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13"/>
        <w:gridCol w:w="1988"/>
        <w:gridCol w:w="205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预算</w:t>
            </w:r>
            <w:r>
              <w:rPr>
                <w:rFonts w:hint="eastAsia" w:ascii="Times New Roman" w:hAnsi="Times New Roman"/>
                <w:b/>
                <w:color w:val="auto"/>
                <w:sz w:val="24"/>
              </w:rPr>
              <w:t>单价</w:t>
            </w:r>
            <w:r>
              <w:rPr>
                <w:rFonts w:ascii="Times New Roman" w:hAnsi="Times New Roman"/>
                <w:b/>
                <w:color w:val="auto"/>
                <w:sz w:val="24"/>
              </w:rPr>
              <w:t>（万元）</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预算</w:t>
            </w:r>
            <w:r>
              <w:rPr>
                <w:rFonts w:ascii="Times New Roman" w:hAnsi="Times New Roman"/>
                <w:b/>
                <w:color w:val="auto"/>
                <w:sz w:val="24"/>
              </w:rPr>
              <w:t>总价</w:t>
            </w:r>
            <w:r>
              <w:rPr>
                <w:rFonts w:hint="eastAsia" w:ascii="Times New Roman" w:hAnsi="Times New Roman"/>
                <w:b/>
                <w:color w:val="auto"/>
                <w:sz w:val="24"/>
              </w:rPr>
              <w:t>（万元）</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全自动清洗消毒器</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29</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29</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12</w:t>
      </w:r>
      <w:bookmarkStart w:id="49" w:name="_GoBack"/>
      <w:bookmarkEnd w:id="49"/>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14</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14</w:t>
      </w:r>
      <w:r>
        <w:rPr>
          <w:rFonts w:ascii="Times New Roman" w:hAnsi="Times New Roman"/>
          <w:b w:val="0"/>
          <w:bCs/>
          <w:color w:val="auto"/>
          <w:kern w:val="0"/>
          <w:sz w:val="24"/>
        </w:rPr>
        <w:t>日14时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p>
    <w:p>
      <w:pPr>
        <w:rPr>
          <w:rFonts w:ascii="Times New Roman" w:hAnsi="Times New Roman"/>
          <w:b/>
          <w:color w:val="auto"/>
          <w:sz w:val="36"/>
          <w:szCs w:val="36"/>
        </w:rPr>
      </w:pPr>
      <w:bookmarkStart w:id="1" w:name="_Toc52036324"/>
      <w:r>
        <w:rPr>
          <w:rFonts w:ascii="Times New Roman" w:hAnsi="Times New Roman"/>
          <w:b/>
          <w:color w:val="auto"/>
          <w:sz w:val="36"/>
          <w:szCs w:val="36"/>
        </w:rPr>
        <w:br w:type="page"/>
      </w:r>
    </w:p>
    <w:p>
      <w:pPr>
        <w:widowControl/>
        <w:spacing w:line="360" w:lineRule="auto"/>
        <w:jc w:val="left"/>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jc w:val="center"/>
        <w:textAlignment w:val="auto"/>
        <w:rPr>
          <w:rFonts w:hint="eastAsia" w:ascii="黑体" w:hAnsi="黑体" w:eastAsia="黑体"/>
          <w:b/>
          <w:bCs/>
          <w:color w:val="auto"/>
          <w:sz w:val="32"/>
        </w:rPr>
      </w:pPr>
      <w:bookmarkStart w:id="2" w:name="_Toc350964160"/>
      <w:bookmarkStart w:id="3" w:name="_Toc233048245"/>
      <w:r>
        <w:rPr>
          <w:rFonts w:hint="eastAsia" w:ascii="黑体" w:hAnsi="黑体" w:eastAsia="黑体"/>
          <w:b w:val="0"/>
          <w:bCs w:val="0"/>
          <w:color w:val="auto"/>
          <w:sz w:val="32"/>
        </w:rPr>
        <w:t>全自动清洗消毒器技术参数</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1、清洗舱容积：≥530L；舱体保温材料橡塑海绵厚度≥20mm。</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2、舱体具有照明系统。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3、开门方式:自动下开门、通道类型:双门通道型、双门可实现互锁、门玻璃:防爆玻璃门，隔音隔热、门障碍:关门遇障碍可自动返回</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★4、门采用主动压紧方式（气缸压紧），密封可靠、门厚度:≥22mm。</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★5、快速预热双水箱设计。</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6、双风机供风，双级加热系统、循环泵；不锈钢泵体，流量最大1100L/分钟、空气过滤器；H13级，效率≥99.99%，过滤精度≤0.2um。</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★7、可实现软启动，根据不同清洗器械和不同的酶液进行变频清洗,。</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★8、≥9寸彩色触摸屏，前后双屏，能动态的显示设备各个功能部件的运行状态及设备运行的各个状态参数。</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★9、预洗、清洗、漂洗一、漂洗二、消毒、干燥全过程由控制器自动控制，全部流程总计时间≤28分钟。</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10、超温自动保护装置，显示精确度≤0.1℃。</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★11、可自动打印过程曲线记录、过程报表记录、并记录A0值；可连接追溯系统,设备后期升级可连接自动搬运系统。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12、≥8套预置程序，≥19套自定义程序，用户可根据需要进行程序编辑。</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13、多种类型清洗架供用户选择配置。</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14、★提供第三方消毒效果检测报告；提供卫生安全评价报告。</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  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  交货期：签订合同后</w:t>
      </w:r>
      <w:r>
        <w:rPr>
          <w:rFonts w:hint="eastAsia" w:asciiTheme="minorEastAsia" w:hAnsiTheme="minorEastAsia" w:eastAsiaTheme="minorEastAsia"/>
          <w:color w:val="auto"/>
          <w:kern w:val="13"/>
          <w:sz w:val="24"/>
          <w:lang w:val="en-US" w:eastAsia="zh-CN"/>
        </w:rPr>
        <w:t>30</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hint="eastAsia" w:asciiTheme="minorEastAsia" w:hAnsiTheme="minorEastAsia" w:eastAsiaTheme="minorEastAsia"/>
          <w:color w:val="auto"/>
          <w:kern w:val="13"/>
          <w:sz w:val="24"/>
        </w:rPr>
        <w:t>2.1</w:t>
      </w:r>
      <w:r>
        <w:rPr>
          <w:rFonts w:hint="eastAsia" w:asciiTheme="minorEastAsia" w:hAnsiTheme="minorEastAsia" w:eastAsiaTheme="minorEastAsia"/>
          <w:color w:val="auto"/>
          <w:kern w:val="13"/>
          <w:sz w:val="24"/>
          <w:lang w:eastAsia="zh-CN"/>
        </w:rPr>
        <w:t>质保期：</w:t>
      </w:r>
      <w:r>
        <w:rPr>
          <w:rFonts w:asciiTheme="minorEastAsia" w:hAnsiTheme="minorEastAsia" w:eastAsiaTheme="minorEastAsia"/>
          <w:color w:val="auto"/>
          <w:kern w:val="13"/>
          <w:sz w:val="24"/>
        </w:rPr>
        <w:t>验收合格后</w:t>
      </w:r>
      <w:r>
        <w:rPr>
          <w:rFonts w:hint="eastAsia" w:asciiTheme="minorEastAsia" w:hAnsiTheme="minorEastAsia" w:eastAsiaTheme="minorEastAsia"/>
          <w:color w:val="auto"/>
          <w:kern w:val="13"/>
          <w:sz w:val="24"/>
          <w:lang w:eastAsia="zh-CN"/>
        </w:rPr>
        <w:t>至少</w:t>
      </w:r>
      <w:r>
        <w:rPr>
          <w:rFonts w:hint="eastAsia" w:asciiTheme="minorEastAsia" w:hAnsiTheme="minorEastAsia" w:eastAsiaTheme="minorEastAsia"/>
          <w:color w:val="auto"/>
          <w:kern w:val="13"/>
          <w:sz w:val="24"/>
          <w:lang w:val="en-US" w:eastAsia="zh-CN"/>
        </w:rPr>
        <w:t>2</w:t>
      </w:r>
      <w:r>
        <w:rPr>
          <w:rFonts w:asciiTheme="minorEastAsia" w:hAnsiTheme="minorEastAsia" w:eastAsiaTheme="minorEastAsia"/>
          <w:color w:val="auto"/>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sz w:val="24"/>
        </w:rPr>
      </w:pPr>
      <w:r>
        <w:rPr>
          <w:rFonts w:hint="eastAsia" w:asciiTheme="minorEastAsia" w:hAnsiTheme="minorEastAsia" w:eastAsiaTheme="minorEastAsia"/>
          <w:color w:val="auto"/>
          <w:kern w:val="13"/>
          <w:sz w:val="24"/>
        </w:rPr>
        <w:t>2.2</w:t>
      </w:r>
      <w:r>
        <w:rPr>
          <w:rFonts w:asciiTheme="minorEastAsia" w:hAnsiTheme="minorEastAsia" w:eastAsiaTheme="minorEastAsia"/>
          <w:color w:val="auto"/>
          <w:kern w:val="13"/>
          <w:sz w:val="24"/>
        </w:rPr>
        <w:t>在质保期内</w:t>
      </w:r>
      <w:r>
        <w:rPr>
          <w:rFonts w:hint="eastAsia" w:asciiTheme="minorEastAsia" w:hAnsiTheme="minorEastAsia" w:eastAsiaTheme="minorEastAsia"/>
          <w:color w:val="auto"/>
          <w:kern w:val="13"/>
          <w:sz w:val="24"/>
        </w:rPr>
        <w:t>，</w:t>
      </w:r>
      <w:r>
        <w:rPr>
          <w:rFonts w:asciiTheme="minorEastAsia" w:hAnsiTheme="minorEastAsia" w:eastAsiaTheme="minorEastAsia"/>
          <w:color w:val="auto"/>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 xml:space="preserve">3.1  </w:t>
      </w:r>
      <w:r>
        <w:rPr>
          <w:rFonts w:asciiTheme="minorEastAsia" w:hAnsiTheme="minorEastAsia" w:eastAsiaTheme="minorEastAsia"/>
          <w:color w:val="auto"/>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  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color w:val="auto"/>
          <w:kern w:val="0"/>
          <w:sz w:val="24"/>
        </w:rPr>
      </w:pPr>
      <w:r>
        <w:rPr>
          <w:rFonts w:hint="eastAsia" w:ascii="宋体" w:hAnsi="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所有包的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为实质性要求，负偏离将导致响应文件无效。</w:t>
      </w:r>
    </w:p>
    <w:p>
      <w:pPr>
        <w:pStyle w:val="2"/>
        <w:jc w:val="both"/>
        <w:rPr>
          <w:rFonts w:ascii="Times New Roman" w:hAnsi="Times New Roman"/>
          <w:color w:val="auto"/>
          <w:sz w:val="36"/>
          <w:szCs w:val="36"/>
        </w:rPr>
      </w:pPr>
      <w:r>
        <w:rPr>
          <w:rFonts w:asciiTheme="minorEastAsia" w:hAnsiTheme="minorEastAsia" w:eastAsiaTheme="minorEastAsia"/>
          <w:color w:val="auto"/>
          <w:sz w:val="24"/>
          <w:szCs w:val="24"/>
        </w:rPr>
        <w:br w:type="page"/>
      </w:r>
      <w:bookmarkStart w:id="4" w:name="_Toc52036325"/>
      <w:bookmarkStart w:id="5"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52036326"/>
      <w:bookmarkStart w:id="7" w:name="_Toc40447267"/>
      <w:bookmarkStart w:id="8" w:name="_Toc34051805"/>
      <w:bookmarkStart w:id="9" w:name="_Toc33698132"/>
      <w:bookmarkStart w:id="10" w:name="_Toc33709793"/>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4051806"/>
      <w:bookmarkStart w:id="12" w:name="_Toc52036327"/>
      <w:bookmarkStart w:id="13" w:name="_Toc33709794"/>
      <w:bookmarkStart w:id="14" w:name="_Toc40447268"/>
      <w:bookmarkStart w:id="15" w:name="_Toc33698133"/>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4051807"/>
      <w:bookmarkStart w:id="17" w:name="_Toc33698134"/>
      <w:bookmarkStart w:id="18" w:name="_Toc40447269"/>
      <w:bookmarkStart w:id="19" w:name="_Toc33709795"/>
      <w:bookmarkStart w:id="20" w:name="_Toc52036328"/>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4051808"/>
      <w:bookmarkStart w:id="22" w:name="_Toc33698135"/>
      <w:bookmarkStart w:id="23" w:name="_Toc52036329"/>
      <w:bookmarkStart w:id="24" w:name="_Toc40447270"/>
      <w:bookmarkStart w:id="25" w:name="_Toc33709796"/>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404120"/>
      <w:bookmarkStart w:id="27" w:name="_Toc436410129"/>
      <w:bookmarkStart w:id="28" w:name="_Toc436820890"/>
      <w:bookmarkStart w:id="29" w:name="_Toc307564880"/>
      <w:bookmarkStart w:id="30" w:name="_Toc436385992"/>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183"/>
      <w:bookmarkStart w:id="32" w:name="_Toc503987293"/>
      <w:bookmarkStart w:id="33" w:name="_Toc503986971"/>
      <w:bookmarkStart w:id="34" w:name="_Toc503987104"/>
      <w:bookmarkStart w:id="35" w:name="_Toc503986838"/>
      <w:bookmarkStart w:id="36" w:name="_Toc503986415"/>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34051809"/>
      <w:bookmarkStart w:id="38" w:name="_Toc40447271"/>
      <w:bookmarkStart w:id="39" w:name="_Toc52036330"/>
      <w:bookmarkStart w:id="40" w:name="_Toc33709797"/>
      <w:bookmarkStart w:id="41" w:name="_Toc33698136"/>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52036331"/>
      <w:bookmarkStart w:id="43" w:name="_Toc34051810"/>
      <w:bookmarkStart w:id="44" w:name="_Toc40447272"/>
      <w:bookmarkStart w:id="45" w:name="_Toc33698137"/>
      <w:bookmarkStart w:id="46" w:name="_Toc33709798"/>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950B2C"/>
    <w:rsid w:val="0AFA5A96"/>
    <w:rsid w:val="0B3A0F6A"/>
    <w:rsid w:val="0DAC4D70"/>
    <w:rsid w:val="0E677033"/>
    <w:rsid w:val="0E7F1957"/>
    <w:rsid w:val="17006A33"/>
    <w:rsid w:val="17122347"/>
    <w:rsid w:val="1B4D05AA"/>
    <w:rsid w:val="1F2324A2"/>
    <w:rsid w:val="20A2053B"/>
    <w:rsid w:val="20D54F08"/>
    <w:rsid w:val="247F6619"/>
    <w:rsid w:val="257E01C7"/>
    <w:rsid w:val="29A7364C"/>
    <w:rsid w:val="2A092A55"/>
    <w:rsid w:val="2BE165BF"/>
    <w:rsid w:val="2FB70420"/>
    <w:rsid w:val="33D16649"/>
    <w:rsid w:val="35DF103A"/>
    <w:rsid w:val="3BF758E5"/>
    <w:rsid w:val="4C2C6594"/>
    <w:rsid w:val="4DC44453"/>
    <w:rsid w:val="508E3344"/>
    <w:rsid w:val="50AB627A"/>
    <w:rsid w:val="50D15CF8"/>
    <w:rsid w:val="51066F16"/>
    <w:rsid w:val="58BA1F78"/>
    <w:rsid w:val="5AAD383C"/>
    <w:rsid w:val="5C6B3BD0"/>
    <w:rsid w:val="5DEF0CB7"/>
    <w:rsid w:val="611E7ED2"/>
    <w:rsid w:val="62D11BF0"/>
    <w:rsid w:val="659F01D8"/>
    <w:rsid w:val="68B977C1"/>
    <w:rsid w:val="69E4351C"/>
    <w:rsid w:val="6A4F2F1A"/>
    <w:rsid w:val="6B8A20A2"/>
    <w:rsid w:val="6C320399"/>
    <w:rsid w:val="6F514ADE"/>
    <w:rsid w:val="6F833AC6"/>
    <w:rsid w:val="72B059E8"/>
    <w:rsid w:val="732C647B"/>
    <w:rsid w:val="73FD62D9"/>
    <w:rsid w:val="74302CB0"/>
    <w:rsid w:val="78F61C8E"/>
    <w:rsid w:val="79CB4C66"/>
    <w:rsid w:val="7AB7598A"/>
    <w:rsid w:val="7C3F13C0"/>
    <w:rsid w:val="7D8D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7954</Words>
  <Characters>8209</Characters>
  <Lines>102</Lines>
  <Paragraphs>28</Paragraphs>
  <TotalTime>177</TotalTime>
  <ScaleCrop>false</ScaleCrop>
  <LinksUpToDate>false</LinksUpToDate>
  <CharactersWithSpaces>9767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2022-04-07T03:37:06Z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