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子午流注治疗仪、体外膈肌起搏器、医用加压泵</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子午流注治疗仪、体外膈肌起搏器、医用加压泵</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子午流注治疗仪、体外膈肌起搏器、医用加压泵</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043"/>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7"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子午流注治疗仪</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743"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体外膈肌起搏器</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医用加压泵</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27</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30</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22</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关于午流注治疗仪、体外膈肌起搏器、医用加压泵采购的比选文件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子午流注治疗仪、体外膈肌起搏器、医用加压泵</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子午流注治疗仪、体外膈肌起搏器、医用加压泵</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42"/>
        <w:gridCol w:w="870"/>
        <w:gridCol w:w="870"/>
        <w:gridCol w:w="1320"/>
        <w:gridCol w:w="13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1"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子午流注治疗仪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bookmarkStart w:id="54" w:name="_GoBack"/>
            <w:bookmarkEnd w:id="54"/>
          </w:p>
        </w:tc>
        <w:tc>
          <w:tcPr>
            <w:tcW w:w="1266"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体外膈肌起搏器</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5</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266"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医用加压泵</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2.5</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266"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ascii="Times New Roman" w:hAnsi="Times New Roman"/>
          <w:color w:val="0D0D0D"/>
          <w:kern w:val="0"/>
          <w:sz w:val="24"/>
          <w:lang w:val="zh-CN"/>
        </w:rPr>
        <w:t>7、具有医疗器械经营企业许可证或医疗器械经营备案凭证（设备为I类医疗器械、不属于医疗器械不提供）</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27</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30</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spacing w:line="440" w:lineRule="exact"/>
        <w:jc w:val="left"/>
        <w:rPr>
          <w:rFonts w:hint="eastAsia" w:cs="仿宋" w:asciiTheme="minorEastAsia" w:hAnsiTheme="minorEastAsia" w:eastAsiaTheme="minorEastAsia"/>
          <w:b/>
          <w:bCs/>
          <w:color w:val="000000"/>
          <w:sz w:val="28"/>
          <w:szCs w:val="28"/>
        </w:rPr>
      </w:pPr>
      <w:bookmarkStart w:id="5" w:name="_Toc350964160"/>
      <w:bookmarkStart w:id="6" w:name="_Toc233048245"/>
      <w:r>
        <w:rPr>
          <w:rFonts w:hint="eastAsia" w:cs="Times New Roman" w:asciiTheme="minorEastAsia" w:hAnsiTheme="minorEastAsia" w:eastAsiaTheme="minorEastAsia"/>
          <w:b/>
          <w:bCs/>
          <w:color w:val="auto"/>
          <w:kern w:val="2"/>
          <w:sz w:val="28"/>
          <w:szCs w:val="28"/>
          <w:lang w:val="en-US" w:eastAsia="zh-CN" w:bidi="ar-SA"/>
        </w:rPr>
        <w:t xml:space="preserve">第01包 </w:t>
      </w:r>
      <w:r>
        <w:rPr>
          <w:rFonts w:hint="eastAsia" w:cs="仿宋" w:asciiTheme="minorEastAsia" w:hAnsiTheme="minorEastAsia" w:eastAsiaTheme="minorEastAsia"/>
          <w:b/>
          <w:bCs/>
          <w:color w:val="000000"/>
          <w:sz w:val="28"/>
          <w:szCs w:val="28"/>
        </w:rPr>
        <w:t>子午流注(低中频)治疗仪</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开穴模式≥4种：子午流注纳甲法、十四经穴位、灵龟八法、经外奇穴等</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▲子午流注纳甲法开穴时间≥4种：即时开穴、定时开穴、任意时间开穴等</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▲灵龟八法开穴时间≥4种：即时开穴、定时开穴、某穴位未来五次开穴时间等</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▲≥4种病症查询：包括辨证分型  症候分析 治疗处方等</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十四经穴位、经外奇穴查询：可以显示部位、作用、主治、解剖、图形</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具有治疗时间设定功能</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具有时区设定功能</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具有真太阳时自动计算功能</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病症信息：≥13种</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▲治疗强度1-99档可调 ，≥10路治疗输出</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脉冲频率≥15档可调：单一频率时固定频率不变；频率组合时多档频率顺序输出</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治疗输出幅度（额定负载500Ω）：最大输出电压有效值≤20V，最大输出输出电流≤40ma；最高输出频率：≥1000hz，（±15%误差）。</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 xml:space="preserve">▲输出频率：1.25hz～1khz </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具备操作指导演示教学视频</w:t>
      </w:r>
    </w:p>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bookmarkStart w:id="7" w:name="OLE_LINK1"/>
      <w:r>
        <w:rPr>
          <w:rFonts w:hint="eastAsia" w:cs="仿宋" w:asciiTheme="minorEastAsia" w:hAnsiTheme="minorEastAsia" w:eastAsiaTheme="minorEastAsia"/>
          <w:color w:val="000000"/>
          <w:sz w:val="24"/>
          <w:szCs w:val="24"/>
        </w:rPr>
        <w:t>显示屏：≥10寸彩色触摸屏</w:t>
      </w:r>
    </w:p>
    <w:bookmarkEnd w:id="7"/>
    <w:p>
      <w:pPr>
        <w:pStyle w:val="72"/>
        <w:numPr>
          <w:ilvl w:val="0"/>
          <w:numId w:val="1"/>
        </w:numPr>
        <w:spacing w:line="440" w:lineRule="exact"/>
        <w:ind w:firstLineChars="0"/>
        <w:contextualSpacing/>
        <w:rPr>
          <w:rFonts w:hint="eastAsia" w:cs="仿宋" w:asciiTheme="minorEastAsia" w:hAnsiTheme="minorEastAsia" w:eastAsiaTheme="minorEastAsia"/>
          <w:color w:val="000000"/>
          <w:sz w:val="24"/>
          <w:szCs w:val="24"/>
        </w:rPr>
      </w:pPr>
      <w:bookmarkStart w:id="8" w:name="OLE_LINK2"/>
      <w:r>
        <w:rPr>
          <w:rFonts w:hint="eastAsia" w:cs="仿宋" w:asciiTheme="minorEastAsia" w:hAnsiTheme="minorEastAsia" w:eastAsiaTheme="minorEastAsia"/>
          <w:color w:val="000000"/>
          <w:sz w:val="24"/>
          <w:szCs w:val="24"/>
        </w:rPr>
        <w:t>台车：配备可拆卸分离式台车</w:t>
      </w:r>
    </w:p>
    <w:p>
      <w:pPr>
        <w:pStyle w:val="72"/>
        <w:numPr>
          <w:ilvl w:val="0"/>
          <w:numId w:val="1"/>
        </w:numPr>
        <w:spacing w:line="440" w:lineRule="exact"/>
        <w:ind w:firstLineChars="0"/>
        <w:contextualSpacing/>
        <w:rPr>
          <w:rFonts w:asciiTheme="minorEastAsia" w:hAnsiTheme="minorEastAsia"/>
          <w:b/>
          <w:sz w:val="24"/>
          <w:szCs w:val="24"/>
        </w:rPr>
      </w:pPr>
      <w:r>
        <w:rPr>
          <w:rFonts w:hint="eastAsia" w:cs="仿宋" w:asciiTheme="minorEastAsia" w:hAnsiTheme="minorEastAsia" w:eastAsiaTheme="minorEastAsia"/>
          <w:color w:val="000000"/>
          <w:sz w:val="24"/>
          <w:szCs w:val="24"/>
        </w:rPr>
        <w:t>▲产品需入选国家中医药管理局治未病适宜技术产品目录，为国家中医药管理局推荐产品</w:t>
      </w:r>
      <w:bookmarkEnd w:id="8"/>
    </w:p>
    <w:p>
      <w:pPr>
        <w:pStyle w:val="10"/>
        <w:jc w:val="left"/>
        <w:rPr>
          <w:rFonts w:hint="eastAsia" w:ascii="宋体" w:hAnsi="宋体" w:eastAsia="宋体" w:cs="宋体"/>
          <w:b/>
          <w:sz w:val="28"/>
          <w:szCs w:val="28"/>
        </w:rPr>
      </w:pPr>
      <w:r>
        <w:rPr>
          <w:rFonts w:hint="eastAsia" w:ascii="宋体" w:hAnsi="宋体" w:eastAsia="宋体" w:cs="宋体"/>
          <w:b/>
          <w:bCs/>
          <w:color w:val="auto"/>
          <w:kern w:val="2"/>
          <w:sz w:val="28"/>
          <w:szCs w:val="28"/>
          <w:lang w:val="en-US" w:eastAsia="zh-CN" w:bidi="ar-SA"/>
        </w:rPr>
        <w:t xml:space="preserve">第02包 </w:t>
      </w:r>
      <w:r>
        <w:rPr>
          <w:rFonts w:hint="eastAsia" w:ascii="宋体" w:hAnsi="宋体" w:eastAsia="宋体" w:cs="宋体"/>
          <w:b/>
          <w:sz w:val="28"/>
          <w:szCs w:val="28"/>
        </w:rPr>
        <w:t>体外膈肌起搏器</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可选择脉冲频率≥5种</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▲最大</w:t>
      </w:r>
      <w:r>
        <w:rPr>
          <w:rFonts w:hint="eastAsia" w:cs="宋体" w:asciiTheme="minorEastAsia" w:hAnsiTheme="minorEastAsia" w:eastAsiaTheme="minorEastAsia"/>
          <w:sz w:val="24"/>
          <w:szCs w:val="24"/>
        </w:rPr>
        <w:t>脉冲宽度：≥</w:t>
      </w:r>
      <w:r>
        <w:rPr>
          <w:rFonts w:cs="宋体" w:asciiTheme="minorEastAsia" w:hAnsiTheme="minorEastAsia" w:eastAsiaTheme="minorEastAsia"/>
          <w:sz w:val="24"/>
          <w:szCs w:val="24"/>
        </w:rPr>
        <w:t>200us</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可选择每分钟起搏次数范围：5—15次/分钟，默认标准状态9次/分钟</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刺激强度（输出脉冲幅度）：0～30单位（0-</w:t>
      </w:r>
      <w:r>
        <w:rPr>
          <w:rFonts w:cs="宋体" w:asciiTheme="minorEastAsia" w:hAnsiTheme="minorEastAsia" w:eastAsiaTheme="minorEastAsia"/>
          <w:sz w:val="24"/>
          <w:szCs w:val="24"/>
        </w:rPr>
        <w:t>27V</w:t>
      </w:r>
      <w:r>
        <w:rPr>
          <w:rFonts w:hint="eastAsia" w:cs="宋体" w:asciiTheme="minorEastAsia" w:hAnsiTheme="minorEastAsia" w:eastAsiaTheme="minorEastAsia"/>
          <w:sz w:val="24"/>
          <w:szCs w:val="24"/>
        </w:rPr>
        <w:t>），可调节</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可选择治疗时间≥8种，有倒计时功能</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具有贴片位置提示功能</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内置锂电池</w:t>
      </w:r>
      <w:r>
        <w:rPr>
          <w:rFonts w:hint="eastAsia" w:cs="宋体" w:asciiTheme="minorEastAsia" w:hAnsiTheme="minorEastAsia" w:eastAsiaTheme="minorEastAsia"/>
          <w:sz w:val="24"/>
          <w:szCs w:val="24"/>
        </w:rPr>
        <w:t>：充电≤4小时即可充满，满电后</w:t>
      </w:r>
      <w:r>
        <w:rPr>
          <w:rFonts w:cs="宋体" w:asciiTheme="minorEastAsia" w:hAnsiTheme="minorEastAsia" w:eastAsiaTheme="minorEastAsia"/>
          <w:sz w:val="24"/>
          <w:szCs w:val="24"/>
        </w:rPr>
        <w:t>可持续</w:t>
      </w:r>
      <w:r>
        <w:rPr>
          <w:rFonts w:hint="eastAsia" w:cs="宋体" w:asciiTheme="minorEastAsia" w:hAnsiTheme="minorEastAsia" w:eastAsiaTheme="minorEastAsia"/>
          <w:sz w:val="24"/>
          <w:szCs w:val="24"/>
        </w:rPr>
        <w:t>使用≥</w:t>
      </w:r>
      <w:r>
        <w:rPr>
          <w:rFonts w:cs="宋体" w:asciiTheme="minorEastAsia" w:hAnsiTheme="minorEastAsia" w:eastAsiaTheme="minorEastAsia"/>
          <w:sz w:val="24"/>
          <w:szCs w:val="24"/>
        </w:rPr>
        <w:t>8小时</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具有LED指示、蜂鸣器提醒功能；</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噪音： ≤60dB</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脉冲幅度值：在负载阻抗为5</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0Ω时，输出脉冲最大幅度≥30V</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sz w:val="24"/>
          <w:szCs w:val="24"/>
        </w:rPr>
        <w:t>工作模式：连续运行</w:t>
      </w:r>
    </w:p>
    <w:p>
      <w:pPr>
        <w:jc w:val="left"/>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bCs/>
          <w:color w:val="auto"/>
          <w:kern w:val="2"/>
          <w:sz w:val="28"/>
          <w:szCs w:val="28"/>
          <w:lang w:val="en-US" w:eastAsia="zh-CN" w:bidi="ar-SA"/>
        </w:rPr>
        <w:t xml:space="preserve">第03包 </w:t>
      </w:r>
      <w:r>
        <w:rPr>
          <w:rFonts w:hint="eastAsia" w:asciiTheme="minorEastAsia" w:hAnsiTheme="minorEastAsia" w:eastAsiaTheme="minorEastAsia" w:cstheme="minorEastAsia"/>
          <w:b/>
          <w:sz w:val="28"/>
          <w:szCs w:val="28"/>
          <w:lang w:eastAsia="zh-CN"/>
        </w:rPr>
        <w:t>医用加压泵（</w:t>
      </w:r>
      <w:r>
        <w:rPr>
          <w:rFonts w:hint="eastAsia" w:asciiTheme="minorEastAsia" w:hAnsiTheme="minorEastAsia" w:eastAsiaTheme="minorEastAsia" w:cstheme="minorEastAsia"/>
          <w:b/>
          <w:sz w:val="28"/>
          <w:szCs w:val="28"/>
        </w:rPr>
        <w:t>腔镜灌注泵</w:t>
      </w:r>
      <w:r>
        <w:rPr>
          <w:rFonts w:hint="eastAsia" w:asciiTheme="minorEastAsia" w:hAnsiTheme="minorEastAsia" w:eastAsiaTheme="minorEastAsia" w:cstheme="minorEastAsia"/>
          <w:b/>
          <w:sz w:val="28"/>
          <w:szCs w:val="28"/>
          <w:lang w:eastAsia="zh-CN"/>
        </w:rPr>
        <w:t>）</w:t>
      </w:r>
    </w:p>
    <w:p>
      <w:pPr>
        <w:numPr>
          <w:ilvl w:val="0"/>
          <w:numId w:val="3"/>
        </w:numPr>
        <w:spacing w:line="360" w:lineRule="auto"/>
        <w:ind w:left="357" w:hanging="357"/>
        <w:rPr>
          <w:b/>
          <w:sz w:val="24"/>
        </w:rPr>
      </w:pPr>
      <w:r>
        <w:rPr>
          <w:rFonts w:hint="eastAsia" w:ascii="新宋体" w:hAnsi="新宋体" w:eastAsia="新宋体"/>
          <w:sz w:val="24"/>
        </w:rPr>
        <w:t>安全分类I类B</w:t>
      </w:r>
      <w:r>
        <w:rPr>
          <w:rFonts w:ascii="新宋体" w:hAnsi="新宋体" w:eastAsia="新宋体"/>
          <w:sz w:val="24"/>
        </w:rPr>
        <w:t>F</w:t>
      </w:r>
      <w:r>
        <w:rPr>
          <w:rFonts w:hint="eastAsia" w:ascii="新宋体" w:hAnsi="新宋体" w:eastAsia="新宋体"/>
          <w:sz w:val="24"/>
        </w:rPr>
        <w:t>型</w:t>
      </w:r>
    </w:p>
    <w:p>
      <w:pPr>
        <w:numPr>
          <w:ilvl w:val="0"/>
          <w:numId w:val="3"/>
        </w:numPr>
        <w:spacing w:line="360" w:lineRule="auto"/>
        <w:ind w:left="357" w:hanging="357"/>
        <w:rPr>
          <w:b/>
          <w:sz w:val="24"/>
        </w:rPr>
      </w:pPr>
      <w:r>
        <w:rPr>
          <w:rFonts w:hint="eastAsia" w:ascii="新宋体" w:hAnsi="新宋体" w:eastAsia="新宋体"/>
          <w:sz w:val="24"/>
        </w:rPr>
        <w:t>微电脑数码管</w:t>
      </w:r>
      <w:r>
        <w:rPr>
          <w:rFonts w:ascii="新宋体" w:hAnsi="新宋体" w:eastAsia="新宋体"/>
          <w:sz w:val="24"/>
        </w:rPr>
        <w:t>显示</w:t>
      </w:r>
      <w:r>
        <w:rPr>
          <w:rFonts w:hint="eastAsia" w:ascii="新宋体" w:hAnsi="新宋体" w:eastAsia="新宋体"/>
          <w:sz w:val="24"/>
        </w:rPr>
        <w:t>, 可显示</w:t>
      </w:r>
      <w:r>
        <w:rPr>
          <w:rFonts w:ascii="新宋体" w:hAnsi="新宋体" w:eastAsia="新宋体"/>
          <w:sz w:val="24"/>
        </w:rPr>
        <w:t>各种功能数据（</w:t>
      </w:r>
      <w:r>
        <w:rPr>
          <w:rFonts w:hint="eastAsia" w:ascii="新宋体" w:hAnsi="新宋体" w:eastAsia="新宋体"/>
          <w:sz w:val="24"/>
        </w:rPr>
        <w:t>设定流量、设定</w:t>
      </w:r>
      <w:r>
        <w:rPr>
          <w:rFonts w:ascii="新宋体" w:hAnsi="新宋体" w:eastAsia="新宋体"/>
          <w:sz w:val="24"/>
        </w:rPr>
        <w:t>压力</w:t>
      </w:r>
      <w:r>
        <w:rPr>
          <w:rFonts w:hint="eastAsia" w:ascii="新宋体" w:hAnsi="新宋体" w:eastAsia="新宋体"/>
          <w:sz w:val="24"/>
        </w:rPr>
        <w:t>、</w:t>
      </w:r>
      <w:r>
        <w:rPr>
          <w:rFonts w:ascii="新宋体" w:hAnsi="新宋体" w:eastAsia="新宋体"/>
          <w:sz w:val="24"/>
        </w:rPr>
        <w:t>实际压力等）</w:t>
      </w:r>
    </w:p>
    <w:p>
      <w:pPr>
        <w:numPr>
          <w:ilvl w:val="0"/>
          <w:numId w:val="3"/>
        </w:numPr>
        <w:spacing w:line="360" w:lineRule="auto"/>
        <w:ind w:left="357" w:hanging="357"/>
        <w:rPr>
          <w:b/>
          <w:sz w:val="24"/>
        </w:rPr>
      </w:pPr>
      <w:r>
        <w:rPr>
          <w:rFonts w:hint="eastAsia" w:ascii="新宋体" w:hAnsi="新宋体" w:eastAsia="新宋体"/>
          <w:sz w:val="24"/>
        </w:rPr>
        <w:t>压力</w:t>
      </w:r>
      <w:r>
        <w:rPr>
          <w:rFonts w:ascii="新宋体" w:hAnsi="新宋体" w:eastAsia="新宋体"/>
          <w:sz w:val="24"/>
        </w:rPr>
        <w:t>可以根据需要调节设定，</w:t>
      </w:r>
      <w:r>
        <w:rPr>
          <w:rFonts w:hint="eastAsia" w:ascii="新宋体" w:hAnsi="新宋体" w:eastAsia="新宋体"/>
          <w:sz w:val="24"/>
        </w:rPr>
        <w:t>设定范围</w:t>
      </w:r>
      <w:r>
        <w:rPr>
          <w:rFonts w:ascii="新宋体" w:hAnsi="新宋体" w:eastAsia="新宋体"/>
          <w:sz w:val="24"/>
        </w:rPr>
        <w:t>50</w:t>
      </w:r>
      <w:r>
        <w:rPr>
          <w:rFonts w:hint="eastAsia" w:ascii="新宋体" w:hAnsi="新宋体" w:eastAsia="新宋体"/>
          <w:sz w:val="24"/>
        </w:rPr>
        <w:t>～400mmHg</w:t>
      </w:r>
    </w:p>
    <w:p>
      <w:pPr>
        <w:numPr>
          <w:ilvl w:val="0"/>
          <w:numId w:val="3"/>
        </w:numPr>
        <w:spacing w:line="360" w:lineRule="auto"/>
        <w:ind w:left="357" w:hanging="357"/>
        <w:rPr>
          <w:b/>
          <w:sz w:val="24"/>
        </w:rPr>
      </w:pPr>
      <w:r>
        <w:rPr>
          <w:rFonts w:hint="eastAsia" w:ascii="新宋体" w:hAnsi="新宋体" w:eastAsia="新宋体"/>
          <w:sz w:val="24"/>
        </w:rPr>
        <w:t>流量</w:t>
      </w:r>
      <w:r>
        <w:rPr>
          <w:rFonts w:ascii="新宋体" w:hAnsi="新宋体" w:eastAsia="新宋体"/>
          <w:sz w:val="24"/>
        </w:rPr>
        <w:t>可以根据需要调节设定，</w:t>
      </w:r>
      <w:r>
        <w:rPr>
          <w:rFonts w:hint="eastAsia" w:ascii="新宋体" w:hAnsi="新宋体" w:eastAsia="新宋体"/>
          <w:sz w:val="24"/>
        </w:rPr>
        <w:t>设定范围0.1～1.0</w:t>
      </w:r>
      <w:r>
        <w:rPr>
          <w:rFonts w:ascii="新宋体" w:hAnsi="新宋体" w:eastAsia="新宋体"/>
          <w:sz w:val="24"/>
        </w:rPr>
        <w:t xml:space="preserve"> L</w:t>
      </w:r>
      <w:r>
        <w:rPr>
          <w:rFonts w:hint="eastAsia" w:ascii="新宋体" w:hAnsi="新宋体" w:eastAsia="新宋体"/>
          <w:sz w:val="24"/>
        </w:rPr>
        <w:t>/min</w:t>
      </w:r>
    </w:p>
    <w:p>
      <w:pPr>
        <w:numPr>
          <w:ilvl w:val="0"/>
          <w:numId w:val="3"/>
        </w:numPr>
        <w:spacing w:line="360" w:lineRule="auto"/>
        <w:ind w:left="357" w:hanging="357"/>
        <w:rPr>
          <w:b/>
          <w:sz w:val="24"/>
        </w:rPr>
      </w:pPr>
      <w:r>
        <w:rPr>
          <w:rFonts w:hint="eastAsia" w:ascii="新宋体" w:hAnsi="新宋体" w:eastAsia="新宋体" w:cs="新宋体"/>
          <w:sz w:val="24"/>
        </w:rPr>
        <w:t>▲</w:t>
      </w:r>
      <w:r>
        <w:rPr>
          <w:rFonts w:hint="eastAsia" w:ascii="新宋体" w:hAnsi="新宋体" w:eastAsia="新宋体"/>
          <w:sz w:val="24"/>
        </w:rPr>
        <w:t>管路</w:t>
      </w:r>
      <w:r>
        <w:rPr>
          <w:rFonts w:ascii="新宋体" w:hAnsi="新宋体" w:eastAsia="新宋体"/>
          <w:sz w:val="24"/>
        </w:rPr>
        <w:t>可</w:t>
      </w:r>
      <w:r>
        <w:rPr>
          <w:rFonts w:hint="eastAsia" w:ascii="新宋体" w:hAnsi="新宋体" w:eastAsia="新宋体"/>
          <w:sz w:val="24"/>
        </w:rPr>
        <w:t>高温高压</w:t>
      </w:r>
      <w:r>
        <w:rPr>
          <w:rFonts w:ascii="新宋体" w:hAnsi="新宋体" w:eastAsia="新宋体"/>
          <w:sz w:val="24"/>
        </w:rPr>
        <w:t>和低温等离子消毒</w:t>
      </w:r>
    </w:p>
    <w:p>
      <w:pPr>
        <w:numPr>
          <w:ilvl w:val="0"/>
          <w:numId w:val="3"/>
        </w:numPr>
        <w:spacing w:line="360" w:lineRule="auto"/>
        <w:ind w:left="357" w:hanging="357"/>
        <w:rPr>
          <w:b/>
          <w:sz w:val="24"/>
        </w:rPr>
      </w:pPr>
      <w:r>
        <w:rPr>
          <w:rFonts w:hint="eastAsia" w:ascii="新宋体" w:hAnsi="新宋体" w:eastAsia="新宋体" w:cs="新宋体"/>
          <w:sz w:val="24"/>
        </w:rPr>
        <w:t>▲</w:t>
      </w:r>
      <w:r>
        <w:rPr>
          <w:rFonts w:hint="eastAsia" w:ascii="新宋体" w:hAnsi="新宋体" w:eastAsia="新宋体"/>
          <w:sz w:val="24"/>
        </w:rPr>
        <w:t>配件可</w:t>
      </w:r>
      <w:r>
        <w:rPr>
          <w:rFonts w:ascii="新宋体" w:hAnsi="新宋体" w:eastAsia="新宋体"/>
          <w:sz w:val="24"/>
        </w:rPr>
        <w:t>与其他品牌通配</w:t>
      </w:r>
    </w:p>
    <w:p>
      <w:pPr>
        <w:numPr>
          <w:ilvl w:val="0"/>
          <w:numId w:val="3"/>
        </w:numPr>
        <w:rPr>
          <w:rFonts w:hint="eastAsia" w:ascii="新宋体" w:hAnsi="新宋体" w:eastAsia="新宋体"/>
          <w:sz w:val="24"/>
        </w:rPr>
      </w:pPr>
      <w:r>
        <w:rPr>
          <w:rFonts w:hint="eastAsia" w:ascii="新宋体" w:hAnsi="新宋体" w:eastAsia="新宋体" w:cs="新宋体"/>
          <w:sz w:val="24"/>
        </w:rPr>
        <w:t>▲</w:t>
      </w:r>
      <w:r>
        <w:rPr>
          <w:rFonts w:hint="eastAsia" w:ascii="新宋体" w:hAnsi="新宋体" w:eastAsia="新宋体"/>
          <w:sz w:val="24"/>
        </w:rPr>
        <w:t>采用挤压式的供水方式</w:t>
      </w:r>
    </w:p>
    <w:p>
      <w:pPr>
        <w:numPr>
          <w:ilvl w:val="0"/>
          <w:numId w:val="3"/>
        </w:numPr>
        <w:spacing w:line="360" w:lineRule="auto"/>
        <w:ind w:left="357" w:hanging="357"/>
        <w:rPr>
          <w:b/>
          <w:sz w:val="24"/>
        </w:rPr>
      </w:pPr>
      <w:r>
        <w:rPr>
          <w:rFonts w:hint="eastAsia" w:ascii="新宋体" w:hAnsi="新宋体" w:eastAsia="新宋体"/>
          <w:sz w:val="24"/>
        </w:rPr>
        <w:t>运行方式间歇加载/连续运行</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w:t>
      </w:r>
      <w:r>
        <w:rPr>
          <w:rFonts w:hint="eastAsia" w:ascii="Times New Roman" w:hAnsi="Times New Roman"/>
          <w:sz w:val="24"/>
          <w:lang w:eastAsia="zh-CN"/>
        </w:rPr>
        <w:t>子午流注治疗仪</w:t>
      </w:r>
      <w:r>
        <w:rPr>
          <w:rFonts w:hint="eastAsia" w:cs="Times New Roman" w:asciiTheme="minorEastAsia" w:hAnsiTheme="minorEastAsia" w:eastAsiaTheme="minorEastAsia"/>
          <w:color w:val="auto"/>
          <w:kern w:val="2"/>
          <w:sz w:val="24"/>
          <w:szCs w:val="24"/>
          <w:lang w:val="en-US" w:eastAsia="zh-CN" w:bidi="ar-SA"/>
        </w:rPr>
        <w:t>至少</w:t>
      </w:r>
      <w:r>
        <w:rPr>
          <w:rFonts w:hint="eastAsia" w:ascii="Times New Roman" w:hAnsi="Times New Roman"/>
          <w:sz w:val="24"/>
          <w:lang w:val="en-US" w:eastAsia="zh-CN"/>
        </w:rPr>
        <w:t>2</w:t>
      </w:r>
      <w:r>
        <w:rPr>
          <w:rFonts w:hint="eastAsia" w:cs="Times New Roman" w:asciiTheme="minorEastAsia" w:hAnsiTheme="minorEastAsia" w:eastAsiaTheme="minorEastAsia"/>
          <w:color w:val="auto"/>
          <w:kern w:val="2"/>
          <w:sz w:val="24"/>
          <w:szCs w:val="24"/>
          <w:lang w:val="en-US" w:eastAsia="zh-CN" w:bidi="ar-SA"/>
        </w:rPr>
        <w:t>年，02包</w:t>
      </w:r>
      <w:r>
        <w:rPr>
          <w:rFonts w:hint="eastAsia" w:ascii="Times New Roman" w:hAnsi="Times New Roman"/>
          <w:sz w:val="24"/>
          <w:lang w:eastAsia="zh-CN"/>
        </w:rPr>
        <w:t>体外膈肌起搏器</w:t>
      </w:r>
      <w:r>
        <w:rPr>
          <w:rFonts w:hint="eastAsia" w:cs="Times New Roman" w:asciiTheme="minorEastAsia" w:hAnsiTheme="minorEastAsia" w:eastAsiaTheme="minorEastAsia"/>
          <w:color w:val="auto"/>
          <w:kern w:val="2"/>
          <w:sz w:val="24"/>
          <w:szCs w:val="24"/>
          <w:lang w:val="en-US" w:eastAsia="zh-CN" w:bidi="ar-SA"/>
        </w:rPr>
        <w:t>至少1年，03包</w:t>
      </w:r>
      <w:r>
        <w:rPr>
          <w:rFonts w:hint="eastAsia" w:ascii="Times New Roman" w:hAnsi="Times New Roman"/>
          <w:sz w:val="24"/>
          <w:lang w:eastAsia="zh-CN"/>
        </w:rPr>
        <w:t>医用加压泵</w:t>
      </w:r>
      <w:r>
        <w:rPr>
          <w:rFonts w:hint="eastAsia" w:cs="Times New Roman" w:asciiTheme="minorEastAsia" w:hAnsiTheme="minorEastAsia" w:eastAsiaTheme="minorEastAsia"/>
          <w:color w:val="auto"/>
          <w:kern w:val="2"/>
          <w:sz w:val="24"/>
          <w:szCs w:val="24"/>
          <w:lang w:val="en-US" w:eastAsia="zh-CN" w:bidi="ar-SA"/>
        </w:rPr>
        <w:t>至少1年。</w:t>
      </w:r>
      <w:bookmarkStart w:id="9" w:name="_Toc520455383"/>
      <w:bookmarkStart w:id="10"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2、报价超过采购最高限价为无效响应文件。</w:t>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9"/>
      <w:bookmarkEnd w:id="10"/>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1" w:name="_Toc34051805"/>
      <w:bookmarkStart w:id="12" w:name="_Toc33698132"/>
      <w:bookmarkStart w:id="13" w:name="_Toc40447267"/>
      <w:bookmarkStart w:id="14" w:name="_Toc52036326"/>
      <w:bookmarkStart w:id="15" w:name="_Toc33709793"/>
      <w:r>
        <w:rPr>
          <w:rFonts w:ascii="Times New Roman" w:hAnsi="Times New Roman" w:eastAsia="黑体"/>
          <w:b/>
          <w:kern w:val="0"/>
          <w:sz w:val="32"/>
          <w:szCs w:val="32"/>
        </w:rPr>
        <w:t>一、封面</w:t>
      </w:r>
      <w:bookmarkEnd w:id="11"/>
      <w:bookmarkEnd w:id="12"/>
      <w:bookmarkEnd w:id="13"/>
      <w:bookmarkEnd w:id="14"/>
      <w:bookmarkEnd w:id="1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6" w:name="_Toc34051806"/>
      <w:bookmarkStart w:id="17" w:name="_Toc33698133"/>
      <w:bookmarkStart w:id="18" w:name="_Toc40447268"/>
      <w:bookmarkStart w:id="19" w:name="_Toc52036327"/>
      <w:bookmarkStart w:id="20" w:name="_Toc33709794"/>
      <w:r>
        <w:rPr>
          <w:rFonts w:ascii="Times New Roman" w:hAnsi="Times New Roman" w:eastAsia="黑体"/>
          <w:b/>
          <w:kern w:val="0"/>
          <w:sz w:val="32"/>
          <w:szCs w:val="32"/>
        </w:rPr>
        <w:t>二、法定代表人/单位负责人授权书</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1" w:name="_Toc33698134"/>
      <w:bookmarkStart w:id="22" w:name="_Toc52036328"/>
      <w:bookmarkStart w:id="23" w:name="_Toc33709795"/>
      <w:bookmarkStart w:id="24" w:name="_Toc40447269"/>
      <w:bookmarkStart w:id="25" w:name="_Toc34051807"/>
      <w:r>
        <w:rPr>
          <w:rFonts w:ascii="Times New Roman" w:hAnsi="Times New Roman" w:eastAsia="黑体"/>
          <w:b/>
          <w:kern w:val="0"/>
          <w:sz w:val="32"/>
          <w:szCs w:val="32"/>
        </w:rPr>
        <w:t>三、承诺函</w:t>
      </w:r>
      <w:bookmarkEnd w:id="21"/>
      <w:bookmarkEnd w:id="22"/>
      <w:bookmarkEnd w:id="23"/>
      <w:bookmarkEnd w:id="24"/>
      <w:bookmarkEnd w:id="2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6" w:name="_Toc33709796"/>
      <w:bookmarkStart w:id="27" w:name="_Toc34051808"/>
      <w:bookmarkStart w:id="28" w:name="_Toc52036329"/>
      <w:bookmarkStart w:id="29" w:name="_Toc33698135"/>
      <w:bookmarkStart w:id="30" w:name="_Toc40447270"/>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1" w:name="_Toc436404120"/>
      <w:bookmarkStart w:id="32" w:name="_Toc436410129"/>
      <w:bookmarkStart w:id="33" w:name="_Toc436820890"/>
      <w:bookmarkStart w:id="34" w:name="_Toc307564880"/>
      <w:bookmarkStart w:id="35" w:name="_Toc436385992"/>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838"/>
      <w:bookmarkStart w:id="37" w:name="_Toc503987104"/>
      <w:bookmarkStart w:id="38" w:name="_Toc503987183"/>
      <w:bookmarkStart w:id="39" w:name="_Toc503986415"/>
      <w:bookmarkStart w:id="40" w:name="_Toc503987293"/>
      <w:bookmarkStart w:id="41"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2" w:name="_Toc33709797"/>
      <w:bookmarkStart w:id="43" w:name="_Toc40447271"/>
      <w:bookmarkStart w:id="44" w:name="_Toc52036330"/>
      <w:bookmarkStart w:id="45" w:name="_Toc33698136"/>
      <w:bookmarkStart w:id="46" w:name="_Toc34051809"/>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7" w:name="_Toc40447272"/>
      <w:bookmarkStart w:id="48" w:name="_Toc52036331"/>
      <w:bookmarkStart w:id="49" w:name="_Toc34051810"/>
      <w:bookmarkStart w:id="50" w:name="_Toc33709798"/>
      <w:bookmarkStart w:id="51" w:name="_Toc33698137"/>
      <w:r>
        <w:rPr>
          <w:rFonts w:ascii="Times New Roman" w:hAnsi="Times New Roman" w:eastAsia="黑体"/>
          <w:b/>
          <w:kern w:val="0"/>
          <w:sz w:val="32"/>
          <w:szCs w:val="32"/>
        </w:rPr>
        <w:t>九、知识产权承诺函</w:t>
      </w:r>
      <w:bookmarkEnd w:id="47"/>
      <w:bookmarkEnd w:id="48"/>
      <w:bookmarkEnd w:id="49"/>
      <w:bookmarkEnd w:id="50"/>
      <w:bookmarkEnd w:id="5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2"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3"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，符合资格供应商不足</w:t>
      </w:r>
      <w:r>
        <w:rPr>
          <w:rFonts w:hint="eastAsia" w:ascii="Times New Roman" w:hAnsi="Times New Roman"/>
          <w:bCs/>
          <w:kern w:val="0"/>
          <w:sz w:val="24"/>
          <w:szCs w:val="20"/>
          <w:lang w:val="en-US" w:eastAsia="zh-CN"/>
        </w:rPr>
        <w:t>3家，不予评审</w:t>
      </w:r>
      <w:r>
        <w:rPr>
          <w:rFonts w:hint="eastAsia" w:ascii="Times New Roman" w:hAnsi="Times New Roman"/>
          <w:bCs/>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53"/>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C009ED"/>
    <w:multiLevelType w:val="multilevel"/>
    <w:tmpl w:val="54C009E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48F618A"/>
    <w:multiLevelType w:val="multilevel"/>
    <w:tmpl w:val="748F6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0CD27FFC"/>
    <w:rsid w:val="0DAC4D70"/>
    <w:rsid w:val="0E677033"/>
    <w:rsid w:val="0E7F1957"/>
    <w:rsid w:val="15200185"/>
    <w:rsid w:val="15304B56"/>
    <w:rsid w:val="16696216"/>
    <w:rsid w:val="17122347"/>
    <w:rsid w:val="17F6222D"/>
    <w:rsid w:val="1B4D05AA"/>
    <w:rsid w:val="1BAC4722"/>
    <w:rsid w:val="1C281231"/>
    <w:rsid w:val="1F2324A2"/>
    <w:rsid w:val="1FDE786A"/>
    <w:rsid w:val="20A2053B"/>
    <w:rsid w:val="20D54F08"/>
    <w:rsid w:val="20ED7DFF"/>
    <w:rsid w:val="247F6619"/>
    <w:rsid w:val="26463681"/>
    <w:rsid w:val="29A7364C"/>
    <w:rsid w:val="2A092A55"/>
    <w:rsid w:val="2BFC0981"/>
    <w:rsid w:val="2F5D26AF"/>
    <w:rsid w:val="2FB70420"/>
    <w:rsid w:val="33D16649"/>
    <w:rsid w:val="352C0BF7"/>
    <w:rsid w:val="35DF103A"/>
    <w:rsid w:val="3609706D"/>
    <w:rsid w:val="39202673"/>
    <w:rsid w:val="3BF758E5"/>
    <w:rsid w:val="3FDC7247"/>
    <w:rsid w:val="40F37FB8"/>
    <w:rsid w:val="45BE1E11"/>
    <w:rsid w:val="45EA0429"/>
    <w:rsid w:val="47EB6865"/>
    <w:rsid w:val="4989333F"/>
    <w:rsid w:val="4C2C6594"/>
    <w:rsid w:val="50277BC9"/>
    <w:rsid w:val="50D15CF8"/>
    <w:rsid w:val="51066F16"/>
    <w:rsid w:val="51AE40DC"/>
    <w:rsid w:val="53455021"/>
    <w:rsid w:val="56B93C5A"/>
    <w:rsid w:val="578E0FAB"/>
    <w:rsid w:val="58BA1F78"/>
    <w:rsid w:val="5AAD383C"/>
    <w:rsid w:val="5DD8138D"/>
    <w:rsid w:val="5DEF0CB7"/>
    <w:rsid w:val="5EBF7E2B"/>
    <w:rsid w:val="5EFD7237"/>
    <w:rsid w:val="611E7ED2"/>
    <w:rsid w:val="659F01D8"/>
    <w:rsid w:val="66350708"/>
    <w:rsid w:val="68B977C1"/>
    <w:rsid w:val="69E4351C"/>
    <w:rsid w:val="6A4F2F1A"/>
    <w:rsid w:val="6B8A20A2"/>
    <w:rsid w:val="6BB8153D"/>
    <w:rsid w:val="6C320399"/>
    <w:rsid w:val="6C755241"/>
    <w:rsid w:val="6D50327E"/>
    <w:rsid w:val="6F514ADE"/>
    <w:rsid w:val="6F833AC6"/>
    <w:rsid w:val="6FA74BB9"/>
    <w:rsid w:val="713951B9"/>
    <w:rsid w:val="71593422"/>
    <w:rsid w:val="72B059E8"/>
    <w:rsid w:val="732C647B"/>
    <w:rsid w:val="73590D2B"/>
    <w:rsid w:val="785455F2"/>
    <w:rsid w:val="7A1B6C1E"/>
    <w:rsid w:val="7A351B2A"/>
    <w:rsid w:val="7AB7598A"/>
    <w:rsid w:val="7C3F13C0"/>
    <w:rsid w:val="7C754515"/>
    <w:rsid w:val="7D8D4B15"/>
    <w:rsid w:val="7E0D277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8368</Words>
  <Characters>8680</Characters>
  <Lines>102</Lines>
  <Paragraphs>28</Paragraphs>
  <TotalTime>0</TotalTime>
  <ScaleCrop>false</ScaleCrop>
  <LinksUpToDate>false</LinksUpToDate>
  <CharactersWithSpaces>10248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2022-06-22T07:59:28Z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8026C8D484864B3FA4AC9BEA92910577</vt:lpwstr>
  </property>
</Properties>
</file>