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手功能康复机器人、中频治疗仪、低频脉冲治疗仪</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决定采购</w:t>
      </w:r>
      <w:r>
        <w:rPr>
          <w:rFonts w:hint="eastAsia" w:ascii="Times New Roman" w:hAnsi="Times New Roman"/>
          <w:color w:val="000000"/>
          <w:sz w:val="24"/>
          <w:lang w:eastAsia="zh-CN"/>
        </w:rPr>
        <w:t>手功能康复机器人、中频治疗仪、低频脉冲治疗仪，</w:t>
      </w:r>
      <w:r>
        <w:rPr>
          <w:rFonts w:hint="eastAsia" w:ascii="Times New Roman" w:hAnsi="Times New Roman"/>
          <w:color w:val="000000"/>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手功能康复机器人、中频治疗仪、低频脉冲治疗仪</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044"/>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6"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手功能康复机器人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743"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电脑中频治疗仪</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6</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sz w:val="24"/>
                <w:lang w:eastAsia="zh-CN"/>
              </w:rPr>
            </w:pPr>
            <w:r>
              <w:rPr>
                <w:rFonts w:hint="eastAsia" w:ascii="Times New Roman" w:hAnsi="Times New Roman"/>
                <w:bCs/>
                <w:sz w:val="24"/>
                <w:lang w:eastAsia="zh-CN"/>
              </w:rPr>
              <w:t>低频脉冲治疗仪</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20</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1.22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19</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13</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关于手功能康复机器人、中频治疗仪、低频治疗仪采购的比选文件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color w:val="000000"/>
          <w:sz w:val="24"/>
          <w:lang w:eastAsia="zh-CN"/>
        </w:rPr>
        <w:t>手功能康复机器人、中频治疗仪、低频脉冲治疗仪，</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手功能康复机器人、中频治疗仪、低频脉冲治疗仪</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044"/>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8"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手功能康复机器人</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267"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电脑中频治疗仪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6</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267"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sz w:val="24"/>
                <w:lang w:eastAsia="zh-CN"/>
              </w:rPr>
            </w:pPr>
            <w:r>
              <w:rPr>
                <w:rFonts w:hint="eastAsia" w:ascii="Times New Roman" w:hAnsi="Times New Roman"/>
                <w:bCs/>
                <w:sz w:val="24"/>
                <w:lang w:eastAsia="zh-CN"/>
              </w:rPr>
              <w:t>低频脉冲治疗仪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20</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1.22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267" w:type="dxa"/>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15</w:t>
      </w:r>
      <w:r>
        <w:rPr>
          <w:rFonts w:hint="eastAsia" w:ascii="Times New Roman" w:hAnsi="Times New Roman"/>
          <w:sz w:val="24"/>
        </w:rPr>
        <w:t>日</w:t>
      </w:r>
      <w:bookmarkStart w:id="53" w:name="_GoBack"/>
      <w:bookmarkEnd w:id="53"/>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spacing w:line="440" w:lineRule="exact"/>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numPr>
          <w:ilvl w:val="0"/>
          <w:numId w:val="1"/>
        </w:numPr>
        <w:kinsoku/>
        <w:wordWrap/>
        <w:overflowPunct/>
        <w:topLinePunct w:val="0"/>
        <w:bidi w:val="0"/>
        <w:snapToGrid/>
        <w:spacing w:line="24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spacing w:line="440" w:lineRule="exac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19</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5" w:name="_Toc233048245"/>
      <w:bookmarkStart w:id="6" w:name="_Toc350964160"/>
      <w:r>
        <w:rPr>
          <w:rFonts w:hint="eastAsia" w:ascii="宋体" w:hAnsi="宋体" w:eastAsia="宋体" w:cs="宋体"/>
          <w:b/>
          <w:bCs/>
          <w:color w:val="auto"/>
          <w:kern w:val="2"/>
          <w:sz w:val="24"/>
          <w:szCs w:val="24"/>
          <w:lang w:val="en-US" w:eastAsia="zh-CN" w:bidi="ar-SA"/>
        </w:rPr>
        <w:t xml:space="preserve">第01包 </w:t>
      </w:r>
      <w:r>
        <w:rPr>
          <w:rFonts w:hint="eastAsia" w:ascii="宋体" w:hAnsi="宋体" w:eastAsia="宋体" w:cs="宋体"/>
          <w:b/>
          <w:bCs/>
          <w:color w:val="000000" w:themeColor="text1"/>
          <w:sz w:val="24"/>
          <w:szCs w:val="24"/>
          <w14:textFill>
            <w14:solidFill>
              <w14:schemeClr w14:val="tx1"/>
            </w14:solidFill>
          </w14:textFill>
        </w:rPr>
        <w:t>手功能康复机器人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一、功能参数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以空气压力作为动力，多通道切换，可同时连接2只手套供2人同时使用，治疗时间1-60分钟任意可调，智能屈曲和伸展</w:t>
      </w:r>
      <w:r>
        <w:rPr>
          <w:rFonts w:hint="eastAsia" w:ascii="宋体" w:hAnsi="宋体" w:eastAsia="宋体" w:cs="宋体"/>
          <w:color w:val="000000"/>
          <w:spacing w:val="75"/>
          <w:sz w:val="24"/>
          <w:szCs w:val="24"/>
          <w:shd w:val="clear" w:color="auto" w:fill="FFFFFF"/>
        </w:rPr>
        <w:t>≥</w:t>
      </w:r>
      <w:r>
        <w:rPr>
          <w:rFonts w:hint="eastAsia" w:ascii="宋体" w:hAnsi="宋体" w:eastAsia="宋体" w:cs="宋体"/>
          <w:sz w:val="24"/>
          <w:szCs w:val="24"/>
        </w:rPr>
        <w:t>10档独立可调，范围时间3-12s可调。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kern w:val="0"/>
          <w:sz w:val="24"/>
          <w:szCs w:val="24"/>
        </w:rPr>
        <w:t>2、手控训练与防痉挛训练，方便患侧手完成早期任务导向训练，治疗中可全程避免屈伸过快诱发痉挛。</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kern w:val="0"/>
          <w:sz w:val="24"/>
          <w:szCs w:val="24"/>
        </w:rPr>
        <w:t>3、</w:t>
      </w:r>
      <w:r>
        <w:rPr>
          <w:rFonts w:hint="eastAsia" w:ascii="宋体" w:hAnsi="宋体" w:eastAsia="宋体" w:cs="宋体"/>
          <w:kern w:val="0"/>
          <w:sz w:val="24"/>
          <w:szCs w:val="24"/>
        </w:rPr>
        <w:t>训练模式包括：智能被动训练、镜像训练、助力训练、主动训练、</w:t>
      </w:r>
      <w:r>
        <w:rPr>
          <w:rFonts w:hint="eastAsia" w:ascii="宋体" w:hAnsi="宋体" w:eastAsia="宋体" w:cs="宋体"/>
          <w:color w:val="000000"/>
          <w:kern w:val="0"/>
          <w:sz w:val="24"/>
          <w:szCs w:val="24"/>
        </w:rPr>
        <w:t>手控训练、</w:t>
      </w:r>
      <w:r>
        <w:rPr>
          <w:rFonts w:hint="eastAsia" w:ascii="宋体" w:hAnsi="宋体" w:eastAsia="宋体" w:cs="宋体"/>
          <w:kern w:val="0"/>
          <w:sz w:val="24"/>
          <w:szCs w:val="24"/>
        </w:rPr>
        <w:t>抗阻训练、语音声控</w:t>
      </w:r>
      <w:r>
        <w:rPr>
          <w:rFonts w:hint="eastAsia" w:ascii="宋体" w:hAnsi="宋体" w:eastAsia="宋体" w:cs="宋体"/>
          <w:color w:val="000000" w:themeColor="text1"/>
          <w:kern w:val="0"/>
          <w:sz w:val="24"/>
          <w:szCs w:val="24"/>
          <w14:textFill>
            <w14:solidFill>
              <w14:schemeClr w14:val="tx1"/>
            </w14:solidFill>
          </w14:textFill>
        </w:rPr>
        <w:t>、协调性训练、力量训练、手腕训练、脚踝训练等</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4、分指被动训练，可进行单个手指或任意几个手指组合进行屈伸训练，可精细化完成</w:t>
      </w:r>
      <w:r>
        <w:rPr>
          <w:rFonts w:hint="eastAsia" w:ascii="宋体" w:hAnsi="宋体" w:eastAsia="宋体" w:cs="宋体"/>
          <w:kern w:val="0"/>
          <w:sz w:val="24"/>
          <w:szCs w:val="24"/>
        </w:rPr>
        <w:t>动作</w:t>
      </w:r>
      <w:r>
        <w:rPr>
          <w:rFonts w:hint="eastAsia" w:ascii="宋体" w:hAnsi="宋体" w:eastAsia="宋体" w:cs="宋体"/>
          <w:color w:val="000000"/>
          <w:spacing w:val="75"/>
          <w:sz w:val="24"/>
          <w:szCs w:val="24"/>
          <w:shd w:val="clear" w:color="auto" w:fill="FFFFFF"/>
        </w:rPr>
        <w:t>≥</w:t>
      </w:r>
      <w:r>
        <w:rPr>
          <w:rFonts w:hint="eastAsia" w:ascii="宋体" w:hAnsi="宋体" w:eastAsia="宋体" w:cs="宋体"/>
          <w:color w:val="000000"/>
          <w:kern w:val="0"/>
          <w:sz w:val="24"/>
          <w:szCs w:val="24"/>
        </w:rPr>
        <w:t>20个</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5、镜像训练，健侧带动患侧训练，采用穿戴式数据手套，</w:t>
      </w:r>
      <w:bookmarkStart w:id="7" w:name="_Hlk102815784"/>
      <w:r>
        <w:rPr>
          <w:rFonts w:hint="eastAsia" w:ascii="宋体" w:hAnsi="宋体" w:eastAsia="宋体" w:cs="宋体"/>
          <w:color w:val="000000"/>
          <w:kern w:val="0"/>
          <w:sz w:val="24"/>
          <w:szCs w:val="24"/>
        </w:rPr>
        <w:t>可精细化完成</w:t>
      </w:r>
      <w:r>
        <w:rPr>
          <w:rFonts w:hint="eastAsia" w:ascii="宋体" w:hAnsi="宋体" w:eastAsia="宋体" w:cs="宋体"/>
          <w:kern w:val="0"/>
          <w:sz w:val="24"/>
          <w:szCs w:val="24"/>
        </w:rPr>
        <w:t>动作</w:t>
      </w:r>
      <w:bookmarkEnd w:id="7"/>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6、场景化的任务导向性训练，在被动训练、手控训练、镜像训练模式中，均可设置抓球场景动画并伴有语音引导。</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z w:val="24"/>
          <w:szCs w:val="24"/>
        </w:rPr>
        <w:t>7</w:t>
      </w:r>
      <w:r>
        <w:rPr>
          <w:rFonts w:hint="eastAsia" w:ascii="宋体" w:hAnsi="宋体" w:eastAsia="宋体" w:cs="宋体"/>
          <w:color w:val="000000"/>
          <w:kern w:val="0"/>
          <w:sz w:val="24"/>
          <w:szCs w:val="24"/>
        </w:rPr>
        <w:t>、助力训练，气动手套识别患侧手屈伸动作意图，协助患侧手完成屈伸动作，训练强度可调</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themeColor="text1"/>
          <w:kern w:val="0"/>
          <w:sz w:val="24"/>
          <w:szCs w:val="24"/>
          <w14:textFill>
            <w14:solidFill>
              <w14:schemeClr w14:val="tx1"/>
            </w14:solidFill>
          </w14:textFill>
        </w:rPr>
        <w:t>主动认知康复训练</w:t>
      </w:r>
      <w:r>
        <w:rPr>
          <w:rFonts w:hint="eastAsia" w:ascii="宋体" w:hAnsi="宋体" w:eastAsia="宋体" w:cs="宋体"/>
          <w:color w:val="000000"/>
          <w:kern w:val="0"/>
          <w:sz w:val="24"/>
          <w:szCs w:val="24"/>
        </w:rPr>
        <w:t>，含多种原创主题动画训练，肩肘腕多自由度主动康复训练，训练难度</w:t>
      </w:r>
      <w:r>
        <w:rPr>
          <w:rFonts w:hint="eastAsia" w:ascii="宋体" w:hAnsi="宋体" w:eastAsia="宋体" w:cs="宋体"/>
          <w:color w:val="000000"/>
          <w:spacing w:val="75"/>
          <w:sz w:val="24"/>
          <w:szCs w:val="24"/>
          <w:shd w:val="clear" w:color="auto" w:fill="FFFFFF"/>
        </w:rPr>
        <w:t>≥</w:t>
      </w:r>
      <w:r>
        <w:rPr>
          <w:rFonts w:hint="eastAsia" w:ascii="宋体" w:hAnsi="宋体" w:eastAsia="宋体" w:cs="宋体"/>
          <w:color w:val="000000"/>
          <w:kern w:val="0"/>
          <w:sz w:val="24"/>
          <w:szCs w:val="24"/>
        </w:rPr>
        <w:t>4</w:t>
      </w:r>
      <w:r>
        <w:rPr>
          <w:rFonts w:hint="eastAsia" w:ascii="宋体" w:hAnsi="宋体" w:eastAsia="宋体" w:cs="宋体"/>
          <w:kern w:val="0"/>
          <w:sz w:val="24"/>
          <w:szCs w:val="24"/>
        </w:rPr>
        <w:t>档。</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kern w:val="0"/>
          <w:sz w:val="24"/>
          <w:szCs w:val="24"/>
        </w:rPr>
        <w:t>9、语音声控模式，内置智能语音识别模块，实时采集并识别患者“手张开”、“手握紧”、“二指捏”、“三指捏”等语音指令，执行相应动作，进行言语训练和手功能康复训练。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10、分指手指操训练，通过预设的手指活动成效，单指分别灵活训练，四指分别与拇指进行对指训练。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11、主动训练，</w:t>
      </w:r>
      <w:r>
        <w:rPr>
          <w:rFonts w:hint="eastAsia" w:ascii="宋体" w:hAnsi="宋体" w:eastAsia="宋体" w:cs="宋体"/>
          <w:color w:val="000000" w:themeColor="text1"/>
          <w:sz w:val="24"/>
          <w:szCs w:val="24"/>
          <w14:textFill>
            <w14:solidFill>
              <w14:schemeClr w14:val="tx1"/>
            </w14:solidFill>
          </w14:textFill>
        </w:rPr>
        <w:t>认知场景训练</w:t>
      </w:r>
      <w:r>
        <w:rPr>
          <w:rFonts w:hint="eastAsia" w:ascii="宋体" w:hAnsi="宋体" w:eastAsia="宋体" w:cs="宋体"/>
          <w:color w:val="000000"/>
          <w:spacing w:val="75"/>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6种；</w:t>
      </w:r>
      <w:r>
        <w:rPr>
          <w:rFonts w:hint="eastAsia" w:ascii="宋体" w:hAnsi="宋体" w:eastAsia="宋体" w:cs="宋体"/>
          <w:sz w:val="24"/>
          <w:szCs w:val="24"/>
        </w:rPr>
        <w:t>功能性动作虚拟化场景训练，包括抓球训练、二指捏骰、三指捏块等。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12、液晶触摸屏</w:t>
      </w:r>
      <w:r>
        <w:rPr>
          <w:rFonts w:hint="eastAsia" w:ascii="宋体" w:hAnsi="宋体" w:eastAsia="宋体" w:cs="宋体"/>
          <w:color w:val="000000"/>
          <w:spacing w:val="75"/>
          <w:sz w:val="24"/>
          <w:szCs w:val="24"/>
          <w:shd w:val="clear" w:color="auto" w:fill="FFFFFF"/>
        </w:rPr>
        <w:t>≥</w:t>
      </w:r>
      <w:r>
        <w:rPr>
          <w:rFonts w:hint="eastAsia" w:ascii="宋体" w:hAnsi="宋体" w:eastAsia="宋体" w:cs="宋体"/>
          <w:color w:val="000000"/>
          <w:kern w:val="0"/>
          <w:sz w:val="24"/>
          <w:szCs w:val="24"/>
        </w:rPr>
        <w:t>12寸，拓展外接大屏显示，</w:t>
      </w:r>
      <w:r>
        <w:rPr>
          <w:rFonts w:hint="eastAsia" w:ascii="宋体" w:hAnsi="宋体" w:eastAsia="宋体" w:cs="宋体"/>
          <w:kern w:val="0"/>
          <w:sz w:val="24"/>
          <w:szCs w:val="24"/>
        </w:rPr>
        <w:t>便携式机身，</w:t>
      </w:r>
      <w:r>
        <w:rPr>
          <w:rFonts w:hint="eastAsia" w:ascii="宋体" w:hAnsi="宋体" w:eastAsia="宋体" w:cs="宋体"/>
          <w:color w:val="000000"/>
          <w:kern w:val="0"/>
          <w:sz w:val="24"/>
          <w:szCs w:val="24"/>
        </w:rPr>
        <w:t>机身配</w:t>
      </w:r>
      <w:r>
        <w:rPr>
          <w:rFonts w:hint="eastAsia" w:ascii="宋体" w:hAnsi="宋体" w:eastAsia="宋体" w:cs="宋体"/>
          <w:kern w:val="0"/>
          <w:sz w:val="24"/>
          <w:szCs w:val="24"/>
        </w:rPr>
        <w:t>有多个</w:t>
      </w:r>
      <w:r>
        <w:rPr>
          <w:rFonts w:hint="eastAsia" w:ascii="宋体" w:hAnsi="宋体" w:eastAsia="宋体" w:cs="宋体"/>
          <w:color w:val="000000"/>
          <w:kern w:val="0"/>
          <w:sz w:val="24"/>
          <w:szCs w:val="24"/>
        </w:rPr>
        <w:t>实体按键。</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r>
        <w:rPr>
          <w:rFonts w:hint="eastAsia" w:ascii="宋体" w:hAnsi="宋体" w:eastAsia="宋体" w:cs="宋体"/>
          <w:sz w:val="24"/>
          <w:szCs w:val="24"/>
        </w:rPr>
        <w:t>康复手套无缝拼接、抗菌材料，内置触觉感知颗粒，</w:t>
      </w:r>
      <w:r>
        <w:rPr>
          <w:rFonts w:hint="eastAsia" w:ascii="宋体" w:hAnsi="宋体" w:eastAsia="宋体" w:cs="宋体"/>
          <w:color w:val="000000"/>
          <w:kern w:val="0"/>
          <w:sz w:val="24"/>
          <w:szCs w:val="24"/>
        </w:rPr>
        <w:t>有多种成人和儿童尺寸手套供选配；</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14、机器可选配手腕训练器和脚踝训练器，手和脚一起康复训练。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kern w:val="0"/>
          <w:sz w:val="24"/>
          <w:szCs w:val="24"/>
        </w:rPr>
        <w:t>15、多用户管理系统和评估功能，可进行多用户电子档案管理，可对手功能进行协调性评估和力量评估；训练结果和评估结果可量化生成训练报表，可管理，直连打印机打印相关报表。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二、性能参数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1、运行速度范围</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90°～150°/s；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2、主机输出压力：负压:-90kPa～-60kPa,正压：100kPa～130kPa。</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3、康复手套四指活动范围</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0°～270°，大拇指活动范围0°～180°；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4、手长范围</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8～22cm。</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Hans"/>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cs="宋体"/>
          <w:b/>
          <w:bCs/>
          <w:color w:val="auto"/>
          <w:kern w:val="2"/>
          <w:sz w:val="24"/>
          <w:szCs w:val="24"/>
          <w:lang w:val="en-US" w:eastAsia="zh-CN" w:bidi="ar-SA"/>
        </w:rPr>
        <w:t>电脑</w:t>
      </w:r>
      <w:r>
        <w:rPr>
          <w:rFonts w:hint="eastAsia" w:ascii="宋体" w:hAnsi="宋体" w:eastAsia="宋体" w:cs="宋体"/>
          <w:b/>
          <w:sz w:val="24"/>
          <w:szCs w:val="24"/>
        </w:rPr>
        <w:t>中频治疗仪</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▲1、显示方式：数码显示。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▲2、输出通道：四路中频加透热输出、四路离子导入直流输出、两路干扰电输出。即1、2两通道形成一组干扰；3、4两通道形成一组干扰。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▲3、中频频率为1kHz～10kHz，单一频率允差±10％。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4、低频调制频率为0～150Hz，单一频率允差±10％或±1Hz取大值。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▲5、中频载波波形：双向方波，脉宽50us～500us，允差±10％。调制波形有正弦波、方波、三角波、指数波、锯齿波、尖波、等幅波。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6、调制方式：连续、断续、间歇、变频、疏密和交替调制。</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间歇调制：低频调制方波（载波）占空比为50％，允差±20％。</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连续调制：采用连续低频正弦波调制中频正弦波，中频调幅度：0%、25%、50%、75%、100%，允差±5％。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7、中频调幅度：0%、25%、50%、75%、100%，允差±5％。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8、干扰电性能：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工作频率：4kHz，允差±10％。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调制频率：0.125Hz，允差±10％。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差频频率范围：0～112Hz，允差±10％或±1Hz取较大值。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调幅度：0%、100%，允差±5％。</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差频变化周期：5.5s、32s，允差±10％。动态节律参数8S，允差±10％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▲9、具有≥100个固定处方，是理疗专家根据不同的疾病而编制成的，可供医生参考使用。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10、中频输出电流：在500Ω的负载下，每路输出电流不大于100mA。输出强度分0～99级可调。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11、输出电流稳定度：不同负载下的输出电流变化率应不大于10%。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12、中频输出峰值电压：在开路条件下测量时，中频输出峰值电压不得超过500V。</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13、运行：输出设定到最大值时，将输出端开路运行10min后再短路运行5min，治疗仪应能正常工作。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14、电极板温度：38℃～55℃，分6档可调，允差±3℃。加热功能可单独开启及关闭，15、离子导入输出直流电流：在500Ω的负载下，每路输出电流不超过50mA，分0～99级可调。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16、电极板：应选购具有一类医疗器械备案凭证的合格产品。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17、治疗时间已在处方中，治疗时间根据处方不同为20min、25min、30min、40min、45min，治疗时间到了有音响提示，并停止输出，时间允差±1min。</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18、具有漏电保护、过载保护，短路保护。可连续使用4-5小时。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19、该产品入选国家中医药管理局中医诊疗设备推荐目录。</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eastAsia="宋体" w:cs="宋体"/>
          <w:b/>
          <w:sz w:val="24"/>
          <w:szCs w:val="24"/>
        </w:rPr>
        <w:t>低频</w:t>
      </w:r>
      <w:r>
        <w:rPr>
          <w:rFonts w:hint="eastAsia" w:ascii="宋体" w:hAnsi="宋体" w:cs="宋体"/>
          <w:b/>
          <w:sz w:val="24"/>
          <w:szCs w:val="24"/>
          <w:lang w:eastAsia="zh-CN"/>
        </w:rPr>
        <w:t>脉冲</w:t>
      </w:r>
      <w:r>
        <w:rPr>
          <w:rFonts w:hint="eastAsia" w:ascii="宋体" w:hAnsi="宋体" w:eastAsia="宋体" w:cs="宋体"/>
          <w:b/>
          <w:sz w:val="24"/>
          <w:szCs w:val="24"/>
        </w:rPr>
        <w:t>治疗仪</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1、电源:内置电源(AC220V士22V, 50Hz士1Hz)或DC9V;功率:≤15W。</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2、输出波形为连续波、疏密波、断续波3种波形，可选择。|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▲3、输出脉冲波形为非对称双向三角尖波。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4、波形频率范围: 0. 8Hz~100Hz 可调;脉冲宽度: 0.14~0. 4ms.</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5、疏密波、断续波波形输出频率范围: 10~ 26次/分钟可调。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6、输出电压正脉冲峰值≤90V (1KS2负载)。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输出电压负脉冲峰值≤40V (1KS2 负载)。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▲7、输出脉冲路数:6路独立输出。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8、电子定时器:具有15min-30min定时功能，定时时间连续可调。误差: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士30%。</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w:t>
      </w:r>
      <w:r>
        <w:rPr>
          <w:rFonts w:hint="eastAsia" w:ascii="Times New Roman" w:hAnsi="Times New Roman"/>
          <w:bCs/>
          <w:sz w:val="24"/>
          <w:lang w:eastAsia="zh-CN"/>
        </w:rPr>
        <w:t>手功能康复机器人</w:t>
      </w:r>
      <w:r>
        <w:rPr>
          <w:rFonts w:hint="eastAsia" w:cs="Times New Roman" w:asciiTheme="minorEastAsia" w:hAnsiTheme="minorEastAsia" w:eastAsiaTheme="minorEastAsia"/>
          <w:color w:val="auto"/>
          <w:kern w:val="2"/>
          <w:sz w:val="24"/>
          <w:szCs w:val="24"/>
          <w:lang w:val="en-US" w:eastAsia="zh-CN" w:bidi="ar-SA"/>
        </w:rPr>
        <w:t>至少</w:t>
      </w:r>
      <w:r>
        <w:rPr>
          <w:rFonts w:hint="eastAsia" w:ascii="Times New Roman" w:hAnsi="Times New Roman"/>
          <w:sz w:val="24"/>
          <w:lang w:val="en-US" w:eastAsia="zh-CN"/>
        </w:rPr>
        <w:t>3</w:t>
      </w:r>
      <w:r>
        <w:rPr>
          <w:rFonts w:hint="eastAsia" w:cs="Times New Roman" w:asciiTheme="minorEastAsia" w:hAnsiTheme="minorEastAsia" w:eastAsiaTheme="minorEastAsia"/>
          <w:color w:val="auto"/>
          <w:kern w:val="2"/>
          <w:sz w:val="24"/>
          <w:szCs w:val="24"/>
          <w:lang w:val="en-US" w:eastAsia="zh-CN" w:bidi="ar-SA"/>
        </w:rPr>
        <w:t>年，02</w:t>
      </w:r>
      <w:r>
        <w:rPr>
          <w:rFonts w:hint="eastAsia" w:ascii="Times New Roman" w:hAnsi="Times New Roman"/>
          <w:bCs/>
          <w:sz w:val="24"/>
          <w:lang w:eastAsia="zh-CN"/>
        </w:rPr>
        <w:t>中频治疗仪</w:t>
      </w:r>
      <w:r>
        <w:rPr>
          <w:rFonts w:hint="eastAsia" w:cs="Times New Roman" w:asciiTheme="minorEastAsia" w:hAnsiTheme="minorEastAsia" w:eastAsiaTheme="minorEastAsia"/>
          <w:color w:val="auto"/>
          <w:kern w:val="2"/>
          <w:sz w:val="24"/>
          <w:szCs w:val="24"/>
          <w:lang w:val="en-US" w:eastAsia="zh-CN" w:bidi="ar-SA"/>
        </w:rPr>
        <w:t>至少1年</w:t>
      </w:r>
      <w:r>
        <w:rPr>
          <w:rFonts w:hint="eastAsia" w:ascii="Times New Roman" w:hAnsi="Times New Roman"/>
          <w:bCs/>
          <w:sz w:val="24"/>
          <w:lang w:eastAsia="zh-CN"/>
        </w:rPr>
        <w:t>，</w:t>
      </w:r>
      <w:r>
        <w:rPr>
          <w:rFonts w:hint="eastAsia" w:ascii="Times New Roman" w:hAnsi="Times New Roman"/>
          <w:bCs/>
          <w:sz w:val="24"/>
          <w:lang w:val="en-US" w:eastAsia="zh-CN"/>
        </w:rPr>
        <w:t>03包</w:t>
      </w:r>
      <w:r>
        <w:rPr>
          <w:rFonts w:hint="eastAsia" w:ascii="Times New Roman" w:hAnsi="Times New Roman"/>
          <w:bCs/>
          <w:sz w:val="24"/>
          <w:lang w:eastAsia="zh-CN"/>
        </w:rPr>
        <w:t>低频治疗仪</w:t>
      </w:r>
      <w:r>
        <w:rPr>
          <w:rFonts w:hint="eastAsia" w:cs="Times New Roman" w:asciiTheme="minorEastAsia" w:hAnsiTheme="minorEastAsia" w:eastAsiaTheme="minorEastAsia"/>
          <w:color w:val="auto"/>
          <w:kern w:val="2"/>
          <w:sz w:val="24"/>
          <w:szCs w:val="24"/>
          <w:lang w:val="en-US" w:eastAsia="zh-CN" w:bidi="ar-SA"/>
        </w:rPr>
        <w:t>至少1年。</w:t>
      </w:r>
      <w:bookmarkStart w:id="8" w:name="_Toc520455383"/>
      <w:bookmarkStart w:id="9"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ascii="Times New Roman" w:hAnsi="Times New Roman"/>
          <w:b/>
          <w:bCs/>
          <w:kern w:val="0"/>
          <w:sz w:val="32"/>
          <w:szCs w:val="32"/>
        </w:rPr>
      </w:pPr>
      <w:bookmarkStart w:id="10" w:name="_Toc520455385"/>
      <w:r>
        <w:rPr>
          <w:rFonts w:ascii="Times New Roman" w:hAnsi="Times New Roman"/>
          <w:b/>
          <w:bCs/>
          <w:kern w:val="0"/>
          <w:sz w:val="32"/>
          <w:szCs w:val="32"/>
        </w:rPr>
        <w:t xml:space="preserve"> </w:t>
      </w:r>
    </w:p>
    <w:p>
      <w:pPr>
        <w:rPr>
          <w:rFonts w:ascii="Times New Roman" w:hAnsi="Times New Roman"/>
          <w:b/>
          <w:bCs/>
          <w:kern w:val="0"/>
          <w:sz w:val="32"/>
          <w:szCs w:val="32"/>
        </w:rPr>
      </w:pPr>
      <w:r>
        <w:rPr>
          <w:rFonts w:ascii="Times New Roman" w:hAnsi="Times New Roman"/>
          <w:b/>
          <w:bCs/>
          <w:kern w:val="0"/>
          <w:sz w:val="32"/>
          <w:szCs w:val="32"/>
        </w:rPr>
        <w:br w:type="page"/>
      </w:r>
    </w:p>
    <w:p>
      <w:pPr>
        <w:spacing w:line="360" w:lineRule="auto"/>
        <w:jc w:val="left"/>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10"/>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8"/>
      <w:bookmarkEnd w:id="9"/>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both"/>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1" w:name="_Toc33709793"/>
      <w:bookmarkStart w:id="12" w:name="_Toc52036326"/>
      <w:bookmarkStart w:id="13" w:name="_Toc33698132"/>
      <w:bookmarkStart w:id="14" w:name="_Toc40447267"/>
      <w:bookmarkStart w:id="15" w:name="_Toc34051805"/>
      <w:r>
        <w:rPr>
          <w:rFonts w:ascii="Times New Roman" w:hAnsi="Times New Roman" w:eastAsia="黑体"/>
          <w:b/>
          <w:kern w:val="0"/>
          <w:sz w:val="32"/>
          <w:szCs w:val="32"/>
        </w:rPr>
        <w:t>一、封面</w:t>
      </w:r>
      <w:bookmarkEnd w:id="11"/>
      <w:bookmarkEnd w:id="12"/>
      <w:bookmarkEnd w:id="13"/>
      <w:bookmarkEnd w:id="14"/>
      <w:bookmarkEnd w:id="1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6" w:name="_Toc33709794"/>
      <w:bookmarkStart w:id="17" w:name="_Toc52036327"/>
      <w:bookmarkStart w:id="18" w:name="_Toc40447268"/>
      <w:bookmarkStart w:id="19" w:name="_Toc33698133"/>
      <w:bookmarkStart w:id="20" w:name="_Toc34051806"/>
      <w:r>
        <w:rPr>
          <w:rFonts w:ascii="Times New Roman" w:hAnsi="Times New Roman" w:eastAsia="黑体"/>
          <w:b/>
          <w:kern w:val="0"/>
          <w:sz w:val="32"/>
          <w:szCs w:val="32"/>
        </w:rPr>
        <w:t>二、法定代表人/单位负责人授权书</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1" w:name="_Toc34051807"/>
      <w:bookmarkStart w:id="22" w:name="_Toc52036328"/>
      <w:bookmarkStart w:id="23" w:name="_Toc33698134"/>
      <w:bookmarkStart w:id="24" w:name="_Toc40447269"/>
      <w:bookmarkStart w:id="25" w:name="_Toc33709795"/>
      <w:r>
        <w:rPr>
          <w:rFonts w:ascii="Times New Roman" w:hAnsi="Times New Roman" w:eastAsia="黑体"/>
          <w:b/>
          <w:kern w:val="0"/>
          <w:sz w:val="32"/>
          <w:szCs w:val="32"/>
        </w:rPr>
        <w:t>三、承诺函</w:t>
      </w:r>
      <w:bookmarkEnd w:id="21"/>
      <w:bookmarkEnd w:id="22"/>
      <w:bookmarkEnd w:id="23"/>
      <w:bookmarkEnd w:id="24"/>
      <w:bookmarkEnd w:id="2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6" w:name="_Toc33709796"/>
      <w:bookmarkStart w:id="27" w:name="_Toc52036329"/>
      <w:bookmarkStart w:id="28" w:name="_Toc34051808"/>
      <w:bookmarkStart w:id="29" w:name="_Toc33698135"/>
      <w:bookmarkStart w:id="30" w:name="_Toc40447270"/>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1" w:name="_Toc436404120"/>
      <w:bookmarkStart w:id="32" w:name="_Toc436410129"/>
      <w:bookmarkStart w:id="33" w:name="_Toc436820890"/>
      <w:bookmarkStart w:id="34" w:name="_Toc307564880"/>
      <w:bookmarkStart w:id="35" w:name="_Toc436385992"/>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838"/>
      <w:bookmarkStart w:id="37" w:name="_Toc503987104"/>
      <w:bookmarkStart w:id="38" w:name="_Toc503987183"/>
      <w:bookmarkStart w:id="39" w:name="_Toc503986415"/>
      <w:bookmarkStart w:id="40" w:name="_Toc503987293"/>
      <w:bookmarkStart w:id="41"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2" w:name="_Toc33709797"/>
      <w:bookmarkStart w:id="43" w:name="_Toc40447271"/>
      <w:bookmarkStart w:id="44" w:name="_Toc52036330"/>
      <w:bookmarkStart w:id="45" w:name="_Toc33698136"/>
      <w:bookmarkStart w:id="46" w:name="_Toc34051809"/>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7" w:name="_Toc40447272"/>
      <w:bookmarkStart w:id="48" w:name="_Toc52036331"/>
      <w:bookmarkStart w:id="49" w:name="_Toc34051810"/>
      <w:bookmarkStart w:id="50" w:name="_Toc33698137"/>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2"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abstractNum w:abstractNumId="1">
    <w:nsid w:val="0BC99AA6"/>
    <w:multiLevelType w:val="singleLevel"/>
    <w:tmpl w:val="0BC99A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0B6010B4"/>
    <w:rsid w:val="0CD27FFC"/>
    <w:rsid w:val="0D0F4ED6"/>
    <w:rsid w:val="0DAC4D70"/>
    <w:rsid w:val="0E677033"/>
    <w:rsid w:val="0E7F1957"/>
    <w:rsid w:val="15200185"/>
    <w:rsid w:val="15304B56"/>
    <w:rsid w:val="17122347"/>
    <w:rsid w:val="17F6222D"/>
    <w:rsid w:val="1B4D05AA"/>
    <w:rsid w:val="1BAC4722"/>
    <w:rsid w:val="1C281231"/>
    <w:rsid w:val="1C88336B"/>
    <w:rsid w:val="1F2324A2"/>
    <w:rsid w:val="1FDE786A"/>
    <w:rsid w:val="20A2053B"/>
    <w:rsid w:val="20D54F08"/>
    <w:rsid w:val="20ED7DFF"/>
    <w:rsid w:val="247F6619"/>
    <w:rsid w:val="26463681"/>
    <w:rsid w:val="27457A1B"/>
    <w:rsid w:val="29A7364C"/>
    <w:rsid w:val="2A092A55"/>
    <w:rsid w:val="2BFC0981"/>
    <w:rsid w:val="2F5D26AF"/>
    <w:rsid w:val="2FB70420"/>
    <w:rsid w:val="33D16649"/>
    <w:rsid w:val="3410163B"/>
    <w:rsid w:val="352C0BF7"/>
    <w:rsid w:val="35DF103A"/>
    <w:rsid w:val="3609706D"/>
    <w:rsid w:val="37164E99"/>
    <w:rsid w:val="3839273F"/>
    <w:rsid w:val="39202673"/>
    <w:rsid w:val="3BF758E5"/>
    <w:rsid w:val="3C693B9A"/>
    <w:rsid w:val="3FDC7247"/>
    <w:rsid w:val="40F37FB8"/>
    <w:rsid w:val="45BE1E11"/>
    <w:rsid w:val="45EA0429"/>
    <w:rsid w:val="46FB0382"/>
    <w:rsid w:val="47EB6865"/>
    <w:rsid w:val="49EF479F"/>
    <w:rsid w:val="4C2C6594"/>
    <w:rsid w:val="50277BC9"/>
    <w:rsid w:val="50D15CF8"/>
    <w:rsid w:val="51066F16"/>
    <w:rsid w:val="51AE40DC"/>
    <w:rsid w:val="53455021"/>
    <w:rsid w:val="56B93C5A"/>
    <w:rsid w:val="578E0FAB"/>
    <w:rsid w:val="58360F93"/>
    <w:rsid w:val="58BA1F78"/>
    <w:rsid w:val="5AAD383C"/>
    <w:rsid w:val="5DD8138D"/>
    <w:rsid w:val="5DEF0CB7"/>
    <w:rsid w:val="5EBF7E2B"/>
    <w:rsid w:val="611E7ED2"/>
    <w:rsid w:val="62892A63"/>
    <w:rsid w:val="659F01D8"/>
    <w:rsid w:val="66350708"/>
    <w:rsid w:val="68871E97"/>
    <w:rsid w:val="68B977C1"/>
    <w:rsid w:val="69E4351C"/>
    <w:rsid w:val="6A4F2F1A"/>
    <w:rsid w:val="6B8A20A2"/>
    <w:rsid w:val="6BB8153D"/>
    <w:rsid w:val="6C320399"/>
    <w:rsid w:val="6C755241"/>
    <w:rsid w:val="6D50327E"/>
    <w:rsid w:val="6F514ADE"/>
    <w:rsid w:val="6F833AC6"/>
    <w:rsid w:val="6FA74BB9"/>
    <w:rsid w:val="713951B9"/>
    <w:rsid w:val="71593422"/>
    <w:rsid w:val="72B059E8"/>
    <w:rsid w:val="732C647B"/>
    <w:rsid w:val="7466395C"/>
    <w:rsid w:val="7A1B6C1E"/>
    <w:rsid w:val="7A351B2A"/>
    <w:rsid w:val="7AB7598A"/>
    <w:rsid w:val="7C3F13C0"/>
    <w:rsid w:val="7C754515"/>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9549</Words>
  <Characters>10060</Characters>
  <Lines>102</Lines>
  <Paragraphs>28</Paragraphs>
  <TotalTime>6</TotalTime>
  <ScaleCrop>false</ScaleCrop>
  <LinksUpToDate>false</LinksUpToDate>
  <CharactersWithSpaces>11636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2022-07-12T01:29:24Z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8026C8D484864B3FA4AC9BEA92910577</vt:lpwstr>
  </property>
</Properties>
</file>