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新生儿高频呼吸机</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spacing w:line="440" w:lineRule="exact"/>
        <w:rPr>
          <w:rFonts w:ascii="Times New Roman" w:hAnsi="Times New Roman"/>
          <w:b/>
          <w:bCs/>
          <w:sz w:val="24"/>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决定采购</w:t>
      </w:r>
      <w:r>
        <w:rPr>
          <w:rFonts w:hint="eastAsia" w:ascii="Times New Roman" w:hAnsi="Times New Roman"/>
          <w:sz w:val="24"/>
          <w:szCs w:val="24"/>
          <w:lang w:eastAsia="zh-CN"/>
        </w:rPr>
        <w:t>新生儿高频呼吸机</w:t>
      </w:r>
      <w:r>
        <w:rPr>
          <w:rFonts w:hint="eastAsia" w:ascii="Times New Roman" w:hAnsi="Times New Roman"/>
          <w:color w:val="000000"/>
          <w:sz w:val="24"/>
          <w:szCs w:val="24"/>
          <w:lang w:eastAsia="zh-CN"/>
        </w:rPr>
        <w:t>，</w:t>
      </w:r>
      <w:r>
        <w:rPr>
          <w:rFonts w:hint="eastAsia" w:ascii="Times New Roman" w:hAnsi="Times New Roman"/>
          <w:color w:val="000000"/>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szCs w:val="24"/>
          <w:lang w:eastAsia="zh-CN"/>
        </w:rPr>
        <w:t>新生儿高频呼吸机</w:t>
      </w:r>
      <w:r>
        <w:rPr>
          <w:rFonts w:hint="eastAsia" w:ascii="Times New Roman" w:hAnsi="Times New Roman"/>
          <w:bCs/>
          <w:sz w:val="24"/>
          <w:lang w:eastAsia="zh-CN"/>
        </w:rPr>
        <w:t>仪</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95"/>
        <w:gridCol w:w="810"/>
        <w:gridCol w:w="781"/>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485"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128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4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4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74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8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128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新生儿高频呼吸机</w:t>
            </w:r>
          </w:p>
        </w:tc>
        <w:tc>
          <w:tcPr>
            <w:tcW w:w="4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45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28</w:t>
            </w:r>
          </w:p>
        </w:tc>
        <w:tc>
          <w:tcPr>
            <w:tcW w:w="77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743" w:type="pct"/>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27</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29</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4</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26</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关于新生儿高频呼吸机采购项目的比选文件（</w:t>
      </w:r>
      <w:r>
        <w:rPr>
          <w:rFonts w:hint="eastAsia" w:ascii="Times New Roman" w:hAnsi="Times New Roman"/>
          <w:sz w:val="32"/>
          <w:szCs w:val="32"/>
          <w:lang w:val="en-US" w:eastAsia="zh-CN"/>
        </w:rPr>
        <w:t>第二次</w:t>
      </w:r>
      <w:r>
        <w:rPr>
          <w:rFonts w:hint="eastAsia" w:ascii="Times New Roman" w:hAnsi="Times New Roman"/>
          <w:sz w:val="32"/>
          <w:szCs w:val="32"/>
          <w:lang w:eastAsia="zh-CN"/>
        </w:rPr>
        <w:t>）</w:t>
      </w:r>
    </w:p>
    <w:p>
      <w:pPr>
        <w:pStyle w:val="2"/>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w:t>
      </w:r>
      <w:r>
        <w:rPr>
          <w:rFonts w:hint="eastAsia" w:ascii="Times New Roman" w:hAnsi="Times New Roman"/>
          <w:sz w:val="24"/>
        </w:rPr>
        <w:t>采购</w:t>
      </w:r>
      <w:r>
        <w:rPr>
          <w:rFonts w:hint="eastAsia" w:ascii="Times New Roman" w:hAnsi="Times New Roman"/>
          <w:sz w:val="24"/>
          <w:szCs w:val="24"/>
          <w:lang w:eastAsia="zh-CN"/>
        </w:rPr>
        <w:t>新生儿高频呼吸机</w:t>
      </w:r>
      <w:r>
        <w:rPr>
          <w:rFonts w:hint="eastAsia" w:ascii="Times New Roman" w:hAnsi="Times New Roman"/>
          <w:color w:val="000000"/>
          <w:sz w:val="24"/>
          <w:lang w:eastAsia="zh-CN"/>
        </w:rPr>
        <w:t>，</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szCs w:val="24"/>
          <w:lang w:eastAsia="zh-CN"/>
        </w:rPr>
        <w:t>新生儿高频呼吸机</w:t>
      </w:r>
      <w:r>
        <w:rPr>
          <w:rFonts w:ascii="Times New Roman" w:hAnsi="Times New Roman"/>
          <w:bCs/>
          <w:sz w:val="24"/>
        </w:rPr>
        <w:t>采购项目</w:t>
      </w:r>
      <w:r>
        <w:rPr>
          <w:rFonts w:hint="eastAsia" w:ascii="Times New Roman" w:hAnsi="Times New Roman"/>
          <w:bCs/>
          <w:sz w:val="24"/>
          <w:lang w:eastAsia="zh-CN"/>
        </w:rPr>
        <w:t>（</w:t>
      </w:r>
      <w:r>
        <w:rPr>
          <w:rFonts w:hint="eastAsia" w:ascii="Times New Roman" w:hAnsi="Times New Roman"/>
          <w:bCs/>
          <w:sz w:val="24"/>
          <w:lang w:val="en-US" w:eastAsia="zh-CN"/>
        </w:rPr>
        <w:t>第二次</w:t>
      </w:r>
      <w:r>
        <w:rPr>
          <w:rFonts w:hint="eastAsia" w:ascii="Times New Roman" w:hAnsi="Times New Roman"/>
          <w:bCs/>
          <w:sz w:val="24"/>
          <w:lang w:eastAsia="zh-CN"/>
        </w:rPr>
        <w:t>）</w:t>
      </w:r>
      <w:r>
        <w:rPr>
          <w:rFonts w:ascii="Times New Roman" w:hAnsi="Times New Roman"/>
          <w:bCs/>
          <w:sz w:val="24"/>
        </w:rPr>
        <w:t>。</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44"/>
        <w:gridCol w:w="735"/>
        <w:gridCol w:w="805"/>
        <w:gridCol w:w="1320"/>
        <w:gridCol w:w="132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8" w:type="dxa"/>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color w:val="auto"/>
                <w:sz w:val="24"/>
              </w:rPr>
            </w:pPr>
            <w:r>
              <w:rPr>
                <w:rFonts w:hint="eastAsia" w:ascii="Times New Roman" w:hAnsi="Times New Roman"/>
                <w:b/>
                <w:color w:val="auto"/>
                <w:sz w:val="24"/>
              </w:rPr>
              <w:t>包号</w:t>
            </w:r>
          </w:p>
        </w:tc>
        <w:tc>
          <w:tcPr>
            <w:tcW w:w="22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rPr>
              <w:t>设备名称</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（万元）</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ascii="Times New Roman" w:hAnsi="Times New Roman"/>
                <w:b/>
                <w:color w:val="auto"/>
                <w:sz w:val="24"/>
              </w:rPr>
              <w:t>是否接受进口产品</w:t>
            </w:r>
          </w:p>
        </w:tc>
        <w:tc>
          <w:tcPr>
            <w:tcW w:w="12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auto"/>
                <w:sz w:val="24"/>
              </w:rPr>
            </w:pPr>
            <w:r>
              <w:rPr>
                <w:rFonts w:hint="eastAsia" w:ascii="Times New Roman" w:hAnsi="Times New Roman"/>
                <w:color w:val="auto"/>
                <w:sz w:val="24"/>
              </w:rPr>
              <w:t>0</w:t>
            </w:r>
            <w:r>
              <w:rPr>
                <w:rFonts w:ascii="Times New Roman" w:hAnsi="Times New Roman"/>
                <w:color w:val="auto"/>
                <w:sz w:val="24"/>
              </w:rPr>
              <w:t>1</w:t>
            </w:r>
          </w:p>
        </w:tc>
        <w:tc>
          <w:tcPr>
            <w:tcW w:w="22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sz w:val="24"/>
                <w:lang w:eastAsia="zh-CN"/>
              </w:rPr>
              <w:t>新生儿高频呼吸机</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rPr>
              <w:t>台</w:t>
            </w:r>
          </w:p>
        </w:tc>
        <w:tc>
          <w:tcPr>
            <w:tcW w:w="8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color w:val="auto"/>
                <w:sz w:val="24"/>
                <w:lang w:val="en-US" w:eastAsia="zh-CN"/>
              </w:rPr>
              <w:t>1</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olor w:val="auto"/>
                <w:sz w:val="24"/>
                <w:lang w:val="en-US" w:eastAsia="zh-CN"/>
              </w:rPr>
            </w:pPr>
            <w:r>
              <w:rPr>
                <w:rFonts w:hint="eastAsia" w:ascii="Times New Roman" w:hAnsi="Times New Roman"/>
                <w:color w:val="auto"/>
                <w:sz w:val="24"/>
                <w:lang w:val="en-US" w:eastAsia="zh-CN"/>
              </w:rPr>
              <w:t>28</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lang w:eastAsia="zh-CN"/>
              </w:rPr>
            </w:pPr>
            <w:r>
              <w:rPr>
                <w:rFonts w:hint="eastAsia" w:ascii="Times New Roman" w:hAnsi="Times New Roman"/>
                <w:color w:val="auto"/>
                <w:sz w:val="24"/>
                <w:lang w:eastAsia="zh-CN"/>
              </w:rPr>
              <w:t>是</w:t>
            </w:r>
          </w:p>
        </w:tc>
        <w:tc>
          <w:tcPr>
            <w:tcW w:w="1267" w:type="dxa"/>
            <w:tcBorders>
              <w:top w:val="single" w:color="auto" w:sz="4" w:space="0"/>
              <w:left w:val="single" w:color="auto" w:sz="4" w:space="0"/>
              <w:right w:val="single" w:color="auto" w:sz="4" w:space="0"/>
            </w:tcBorders>
            <w:vAlign w:val="center"/>
          </w:tcPr>
          <w:p>
            <w:pPr>
              <w:jc w:val="center"/>
              <w:rPr>
                <w:rFonts w:hint="eastAsia" w:ascii="Times New Roman" w:hAnsi="Times New Roman"/>
                <w:color w:val="auto"/>
                <w:sz w:val="24"/>
                <w:lang w:eastAsia="zh-CN"/>
              </w:rPr>
            </w:pP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ascii="Times New Roman" w:hAnsi="Times New Roman"/>
          <w:color w:val="0D0D0D"/>
          <w:kern w:val="0"/>
          <w:sz w:val="24"/>
          <w:lang w:val="zh-CN"/>
        </w:rPr>
        <w:t>7、具有医疗器械经营企业许可证或医疗器械经营备案凭证（设备为I类医疗器械、不属于医疗器械不提供）</w:t>
      </w:r>
      <w:r>
        <w:rPr>
          <w:rFonts w:hint="eastAsia" w:ascii="Times New Roman" w:hAnsi="Times New Roman"/>
          <w:color w:val="0D0D0D"/>
          <w:kern w:val="0"/>
          <w:sz w:val="24"/>
          <w:lang w:val="en-US" w:eastAsia="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8、法定代表人授权委托书；</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9、</w:t>
      </w:r>
      <w:r>
        <w:rPr>
          <w:rFonts w:hint="eastAsia" w:hAnsi="宋体"/>
          <w:sz w:val="24"/>
        </w:rPr>
        <w:t>提供产品的医疗器械产品注册证或备案凭证（非医疗器械产品除外）。</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r>
        <w:rPr>
          <w:rFonts w:hint="eastAsia" w:ascii="Times New Roman" w:hAnsi="Times New Roman"/>
          <w:color w:val="0D0D0D"/>
          <w:kern w:val="0"/>
          <w:sz w:val="24"/>
          <w:lang w:val="en-US" w:eastAsia="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hint="eastAsia" w:ascii="Times New Roman" w:hAnsi="Times New Roman" w:eastAsia="宋体"/>
          <w:color w:val="0D0D0D"/>
          <w:kern w:val="0"/>
          <w:sz w:val="24"/>
          <w:lang w:val="en-US" w:eastAsia="zh-CN"/>
        </w:rPr>
      </w:pPr>
      <w:r>
        <w:rPr>
          <w:rFonts w:ascii="Times New Roman" w:hAnsi="Times New Roman"/>
          <w:color w:val="0D0D0D"/>
          <w:kern w:val="0"/>
          <w:sz w:val="24"/>
          <w:lang w:val="zh-CN"/>
        </w:rPr>
        <w:t>7、提供医疗器械经营许可证或医疗器械经营备案凭证复印件（本条对I类医疗器械产品，不具效力）</w:t>
      </w:r>
      <w:r>
        <w:rPr>
          <w:rFonts w:hint="eastAsia" w:ascii="Times New Roman" w:hAnsi="Times New Roman"/>
          <w:color w:val="0D0D0D"/>
          <w:kern w:val="0"/>
          <w:sz w:val="24"/>
          <w:lang w:val="en-US" w:eastAsia="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27</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29</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bookmarkStart w:id="52" w:name="_GoBack"/>
      <w:bookmarkEnd w:id="52"/>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b/>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kern w:val="0"/>
          <w:sz w:val="24"/>
        </w:rPr>
      </w:pPr>
      <w:r>
        <w:rPr>
          <w:rFonts w:hint="eastAsia" w:ascii="Times New Roman" w:hAnsi="Times New Roman"/>
          <w:b/>
          <w:lang w:val="en-US" w:eastAsia="zh-CN"/>
        </w:rPr>
        <w:t>1、</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b w:val="0"/>
          <w:bCs w:val="0"/>
          <w:color w:val="auto"/>
          <w:kern w:val="0"/>
          <w:sz w:val="24"/>
          <w:lang w:val="en-US" w:eastAsia="zh-CN"/>
        </w:rPr>
      </w:pPr>
      <w:r>
        <w:rPr>
          <w:rFonts w:hint="eastAsia" w:ascii="Times New Roman" w:hAnsi="Times New Roman"/>
          <w:b w:val="0"/>
          <w:bCs w:val="0"/>
          <w:kern w:val="0"/>
          <w:sz w:val="24"/>
          <w:lang w:val="en-US" w:eastAsia="zh-CN"/>
        </w:rPr>
        <w:t>一次性报价，</w:t>
      </w:r>
      <w:r>
        <w:rPr>
          <w:rFonts w:hint="eastAsia" w:asciiTheme="minorEastAsia" w:hAnsiTheme="minorEastAsia" w:eastAsiaTheme="minorEastAsia"/>
          <w:b w:val="0"/>
          <w:bCs w:val="0"/>
          <w:color w:val="auto"/>
          <w:kern w:val="0"/>
          <w:sz w:val="24"/>
          <w:lang w:val="en-US" w:eastAsia="zh-CN"/>
        </w:rPr>
        <w:t>报价超过采购最高限价为无效响应文件。</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3、供应商无须到开标现场，请保持通讯畅通。</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4</w:t>
      </w:r>
      <w:r>
        <w:rPr>
          <w:rFonts w:ascii="Times New Roman" w:hAnsi="Times New Roman"/>
          <w:b w:val="0"/>
          <w:bCs/>
          <w:kern w:val="0"/>
          <w:sz w:val="24"/>
        </w:rPr>
        <w:t>日1</w:t>
      </w:r>
      <w:r>
        <w:rPr>
          <w:rFonts w:hint="eastAsia" w:ascii="Times New Roman" w:hAnsi="Times New Roman"/>
          <w:b w:val="0"/>
          <w:bCs/>
          <w:kern w:val="0"/>
          <w:sz w:val="24"/>
          <w:lang w:val="en-US" w:eastAsia="zh-CN"/>
        </w:rPr>
        <w:t>5</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3"/>
        <w:ind w:left="560" w:firstLine="0" w:firstLineChars="0"/>
        <w:contextualSpacing/>
        <w:rPr>
          <w:sz w:val="24"/>
        </w:rPr>
      </w:pPr>
      <w:r>
        <w:rPr>
          <w:sz w:val="24"/>
        </w:rPr>
        <w:t>地  址：</w:t>
      </w:r>
      <w:r>
        <w:rPr>
          <w:rFonts w:hint="eastAsia"/>
          <w:sz w:val="24"/>
        </w:rPr>
        <w:t>三台县潼川镇解放下街139号</w:t>
      </w:r>
    </w:p>
    <w:p>
      <w:pPr>
        <w:pStyle w:val="43"/>
        <w:ind w:left="560" w:firstLine="0" w:firstLineChars="0"/>
        <w:contextualSpacing/>
        <w:rPr>
          <w:sz w:val="24"/>
        </w:rPr>
      </w:pPr>
      <w:r>
        <w:rPr>
          <w:sz w:val="24"/>
        </w:rPr>
        <w:t>联系人：</w:t>
      </w:r>
      <w:r>
        <w:rPr>
          <w:rFonts w:hint="eastAsia"/>
          <w:sz w:val="24"/>
        </w:rPr>
        <w:t>张老师</w:t>
      </w:r>
    </w:p>
    <w:p>
      <w:pPr>
        <w:pStyle w:val="43"/>
        <w:ind w:left="560" w:firstLine="0" w:firstLineChars="0"/>
        <w:contextualSpacing/>
        <w:rPr>
          <w:color w:val="000000"/>
          <w:sz w:val="24"/>
        </w:rPr>
      </w:pPr>
      <w:r>
        <w:rPr>
          <w:sz w:val="24"/>
        </w:rPr>
        <w:t>电  话：</w:t>
      </w:r>
      <w:r>
        <w:rPr>
          <w:rFonts w:hint="eastAsia"/>
          <w:sz w:val="24"/>
          <w:lang w:val="en-US" w:eastAsia="zh-CN"/>
        </w:rPr>
        <w:t>0816</w:t>
      </w:r>
      <w:r>
        <w:rPr>
          <w:sz w:val="24"/>
        </w:rPr>
        <w:t>-</w:t>
      </w:r>
      <w:r>
        <w:rPr>
          <w:rFonts w:hint="eastAsia"/>
          <w:sz w:val="24"/>
        </w:rPr>
        <w:t>5222252</w:t>
      </w:r>
      <w:bookmarkStart w:id="1" w:name="_Toc520455380"/>
      <w:bookmarkStart w:id="2" w:name="_Toc52036323"/>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hint="eastAsia" w:asciiTheme="minorEastAsia" w:hAnsiTheme="minorEastAsia" w:eastAsiaTheme="minorEastAsia"/>
          <w:b/>
          <w:kern w:val="0"/>
          <w:sz w:val="28"/>
          <w:szCs w:val="28"/>
          <w:lang w:eastAsia="zh-CN"/>
        </w:rPr>
      </w:pPr>
      <w:r>
        <w:rPr>
          <w:rFonts w:hint="eastAsia" w:asciiTheme="minorEastAsia" w:hAnsiTheme="minorEastAsia" w:eastAsiaTheme="minorEastAsia"/>
          <w:b/>
          <w:kern w:val="0"/>
          <w:sz w:val="28"/>
          <w:szCs w:val="28"/>
          <w:lang w:eastAsia="zh-CN"/>
        </w:rPr>
        <w:t>一、技术参数及要求</w:t>
      </w:r>
    </w:p>
    <w:p>
      <w:pPr>
        <w:jc w:val="left"/>
      </w:pPr>
      <w:bookmarkStart w:id="5" w:name="_Toc233048245"/>
      <w:bookmarkStart w:id="6" w:name="_Toc350964160"/>
      <w:r>
        <w:rPr>
          <w:rFonts w:hint="eastAsia" w:asciiTheme="majorEastAsia" w:hAnsiTheme="majorEastAsia" w:eastAsiaTheme="majorEastAsia"/>
          <w:b/>
          <w:sz w:val="28"/>
          <w:szCs w:val="28"/>
        </w:rPr>
        <w:t>新生儿高频呼吸机</w:t>
      </w:r>
    </w:p>
    <w:p>
      <w:pPr>
        <w:rPr>
          <w:rFonts w:asciiTheme="minorEastAsia" w:hAnsiTheme="minorEastAsia"/>
          <w:sz w:val="24"/>
          <w:szCs w:val="24"/>
        </w:rPr>
      </w:pPr>
      <w:r>
        <w:rPr>
          <w:rFonts w:hint="eastAsia" w:asciiTheme="majorEastAsia" w:hAnsiTheme="majorEastAsia" w:eastAsiaTheme="majorEastAsia"/>
          <w:sz w:val="24"/>
          <w:szCs w:val="24"/>
        </w:rPr>
        <w:t>1</w:t>
      </w:r>
      <w:r>
        <w:rPr>
          <w:rFonts w:hint="eastAsia" w:asciiTheme="minorEastAsia" w:hAnsiTheme="minorEastAsia"/>
          <w:sz w:val="24"/>
          <w:szCs w:val="24"/>
        </w:rPr>
        <w:t>、适用范围：适用于早产儿、新生儿及儿童使用；</w:t>
      </w:r>
    </w:p>
    <w:p>
      <w:pPr>
        <w:rPr>
          <w:rFonts w:asciiTheme="minorEastAsia" w:hAnsiTheme="minorEastAsia"/>
          <w:bCs/>
          <w:sz w:val="24"/>
          <w:szCs w:val="24"/>
        </w:rPr>
      </w:pPr>
      <w:r>
        <w:rPr>
          <w:rFonts w:hint="eastAsia" w:asciiTheme="minorEastAsia" w:hAnsiTheme="minorEastAsia"/>
          <w:bCs/>
          <w:sz w:val="24"/>
          <w:szCs w:val="24"/>
        </w:rPr>
        <w:t>2、通气控制：具备无创通气、常频通气和高频通气；常频通气模式下至少两种呼吸模式同时具备容量保证V</w:t>
      </w:r>
      <w:r>
        <w:rPr>
          <w:rFonts w:asciiTheme="minorEastAsia" w:hAnsiTheme="minorEastAsia"/>
          <w:bCs/>
          <w:sz w:val="24"/>
          <w:szCs w:val="24"/>
        </w:rPr>
        <w:t>TG/TTV</w:t>
      </w:r>
      <w:r>
        <w:rPr>
          <w:rFonts w:hint="eastAsia" w:asciiTheme="minorEastAsia" w:hAnsiTheme="minorEastAsia"/>
          <w:bCs/>
          <w:sz w:val="24"/>
          <w:szCs w:val="24"/>
        </w:rPr>
        <w:t>或容量限制功能</w:t>
      </w:r>
    </w:p>
    <w:p>
      <w:pPr>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bCs/>
          <w:sz w:val="24"/>
          <w:szCs w:val="24"/>
        </w:rPr>
        <w:t>3、常频/高频切换时无需更换管路及回路，</w:t>
      </w:r>
      <w:r>
        <w:rPr>
          <w:rFonts w:hint="eastAsia" w:asciiTheme="minorEastAsia" w:hAnsiTheme="minorEastAsia"/>
          <w:sz w:val="24"/>
          <w:szCs w:val="24"/>
        </w:rPr>
        <w:t>呼吸回路系统无阀门</w:t>
      </w:r>
    </w:p>
    <w:p>
      <w:pPr>
        <w:rPr>
          <w:rFonts w:asciiTheme="minorEastAsia" w:hAnsiTheme="minorEastAsia"/>
          <w:sz w:val="24"/>
          <w:szCs w:val="24"/>
        </w:rPr>
      </w:pPr>
      <w:r>
        <w:rPr>
          <w:rFonts w:hint="eastAsia" w:asciiTheme="minorEastAsia" w:hAnsiTheme="minorEastAsia"/>
          <w:sz w:val="24"/>
          <w:szCs w:val="24"/>
        </w:rPr>
        <w:t>4、无创通气技术：</w:t>
      </w:r>
    </w:p>
    <w:p>
      <w:pPr>
        <w:rPr>
          <w:rFonts w:asciiTheme="minorEastAsia" w:hAnsiTheme="minorEastAsia"/>
          <w:sz w:val="24"/>
          <w:szCs w:val="24"/>
        </w:rPr>
      </w:pPr>
      <w:r>
        <w:rPr>
          <w:rFonts w:hint="eastAsia" w:asciiTheme="minorEastAsia" w:hAnsiTheme="minorEastAsia"/>
          <w:sz w:val="24"/>
          <w:szCs w:val="24"/>
        </w:rPr>
        <w:t>▲4.1、无创持续正压通气nCPAP（鼻塞无创通气），窒息后备通气，后备通气量可按需调节</w:t>
      </w:r>
    </w:p>
    <w:p>
      <w:pPr>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2</w:t>
      </w:r>
      <w:r>
        <w:rPr>
          <w:rFonts w:hint="eastAsia" w:asciiTheme="minorEastAsia" w:hAnsiTheme="minorEastAsia"/>
          <w:sz w:val="24"/>
          <w:szCs w:val="24"/>
        </w:rPr>
        <w:t>、触发方式：压力触发、流量触发或容量触发</w:t>
      </w:r>
    </w:p>
    <w:p>
      <w:pPr>
        <w:rPr>
          <w:rFonts w:asciiTheme="minorEastAsia" w:hAnsiTheme="minorEastAsia"/>
          <w:sz w:val="24"/>
          <w:szCs w:val="24"/>
        </w:rPr>
      </w:pPr>
      <w:r>
        <w:rPr>
          <w:rFonts w:hint="eastAsia" w:asciiTheme="minorEastAsia" w:hAnsiTheme="minorEastAsia"/>
          <w:sz w:val="24"/>
          <w:szCs w:val="24"/>
        </w:rPr>
        <w:t>5、常频通气技术：</w:t>
      </w:r>
    </w:p>
    <w:p>
      <w:pPr>
        <w:rPr>
          <w:rFonts w:asciiTheme="minorEastAsia" w:hAnsiTheme="minorEastAsia"/>
          <w:sz w:val="24"/>
          <w:szCs w:val="24"/>
        </w:rPr>
      </w:pPr>
      <w:r>
        <w:rPr>
          <w:rFonts w:hint="eastAsia" w:asciiTheme="minorEastAsia" w:hAnsiTheme="minorEastAsia"/>
          <w:sz w:val="24"/>
          <w:szCs w:val="24"/>
        </w:rPr>
        <w:t>5.1、通气模式：</w:t>
      </w:r>
      <w:r>
        <w:rPr>
          <w:rFonts w:hint="eastAsia" w:cs="Arial" w:asciiTheme="minorEastAsia" w:hAnsiTheme="minorEastAsia"/>
          <w:sz w:val="24"/>
          <w:szCs w:val="24"/>
        </w:rPr>
        <w:t>PTV病人触发通气</w:t>
      </w:r>
      <w:r>
        <w:rPr>
          <w:rFonts w:hint="eastAsia" w:asciiTheme="minorEastAsia" w:hAnsiTheme="minorEastAsia"/>
          <w:sz w:val="24"/>
          <w:szCs w:val="24"/>
        </w:rPr>
        <w:t>、间歇正压通气/间歇指令通气(IPPV/IMV)、同步间歇指令(SIMV)、压力支持通气PSV、持续正压通气CPAP</w:t>
      </w:r>
    </w:p>
    <w:p>
      <w:pPr>
        <w:rPr>
          <w:rFonts w:hint="eastAsia" w:asciiTheme="minorEastAsia" w:hAnsiTheme="minorEastAsia"/>
          <w:sz w:val="24"/>
          <w:szCs w:val="24"/>
        </w:rPr>
      </w:pPr>
      <w:r>
        <w:rPr>
          <w:rFonts w:hint="eastAsia" w:asciiTheme="minorEastAsia" w:hAnsiTheme="minorEastAsia"/>
          <w:sz w:val="24"/>
          <w:szCs w:val="24"/>
        </w:rPr>
        <w:t>5.2、切换控制：时间切换压力限制，流速切换，容量切换</w:t>
      </w:r>
    </w:p>
    <w:p>
      <w:pPr>
        <w:rPr>
          <w:rFonts w:hint="eastAsia" w:asciiTheme="minorEastAsia" w:hAnsiTheme="minorEastAsia"/>
        </w:rPr>
      </w:pPr>
      <w:r>
        <w:rPr>
          <w:rFonts w:hint="eastAsia" w:asciiTheme="minorEastAsia" w:hAnsiTheme="minorEastAsia"/>
          <w:sz w:val="24"/>
          <w:szCs w:val="24"/>
        </w:rPr>
        <w:t>5.3、</w:t>
      </w:r>
      <w:r>
        <w:rPr>
          <w:rFonts w:hint="eastAsia" w:asciiTheme="minorEastAsia" w:hAnsiTheme="minorEastAsia"/>
        </w:rPr>
        <w:t>压力控制，压力支持</w:t>
      </w:r>
    </w:p>
    <w:p>
      <w:pPr>
        <w:rPr>
          <w:rFonts w:asciiTheme="minorEastAsia" w:hAnsiTheme="minorEastAsia"/>
        </w:rPr>
      </w:pPr>
      <w:r>
        <w:rPr>
          <w:rFonts w:hint="eastAsia" w:asciiTheme="minorEastAsia" w:hAnsiTheme="minorEastAsia"/>
        </w:rPr>
        <w:t>▲5.4、TTV目标容量通气（可以和以上所有常规模式结合衍生出智能通气模式）。</w:t>
      </w:r>
    </w:p>
    <w:p>
      <w:pPr>
        <w:pStyle w:val="60"/>
        <w:spacing w:line="320" w:lineRule="atLeast"/>
        <w:ind w:left="178" w:firstLine="420"/>
        <w:rPr>
          <w:rFonts w:asciiTheme="minorEastAsia" w:hAnsiTheme="minorEastAsia" w:eastAsiaTheme="minorEastAsia"/>
        </w:rPr>
      </w:pPr>
      <w:r>
        <w:rPr>
          <w:rFonts w:hint="eastAsia" w:asciiTheme="minorEastAsia" w:hAnsiTheme="minorEastAsia" w:eastAsiaTheme="minorEastAsia"/>
        </w:rPr>
        <w:t>智能容量目标/压力调节控制通气（CMV+TTV）</w:t>
      </w:r>
    </w:p>
    <w:p>
      <w:pPr>
        <w:pStyle w:val="60"/>
        <w:spacing w:line="320" w:lineRule="atLeast"/>
        <w:ind w:left="178" w:firstLine="420"/>
        <w:rPr>
          <w:rFonts w:asciiTheme="minorEastAsia" w:hAnsiTheme="minorEastAsia" w:eastAsiaTheme="minorEastAsia"/>
        </w:rPr>
      </w:pPr>
      <w:r>
        <w:rPr>
          <w:rFonts w:hint="eastAsia" w:asciiTheme="minorEastAsia" w:hAnsiTheme="minorEastAsia" w:eastAsiaTheme="minorEastAsia"/>
        </w:rPr>
        <w:t>智能容量目标/压力调节同步间歇指令通气（SIMV+TTV）</w:t>
      </w:r>
    </w:p>
    <w:p>
      <w:pPr>
        <w:pStyle w:val="60"/>
        <w:spacing w:line="320" w:lineRule="atLeast"/>
        <w:ind w:left="178" w:firstLine="420"/>
        <w:rPr>
          <w:rFonts w:asciiTheme="minorEastAsia" w:hAnsiTheme="minorEastAsia" w:eastAsiaTheme="minorEastAsia"/>
        </w:rPr>
      </w:pPr>
      <w:r>
        <w:rPr>
          <w:rFonts w:hint="eastAsia" w:asciiTheme="minorEastAsia" w:hAnsiTheme="minorEastAsia" w:eastAsiaTheme="minorEastAsia"/>
        </w:rPr>
        <w:t>智能容量目标/压力调节同步辅助通气（PTV+TTV）</w:t>
      </w:r>
    </w:p>
    <w:p>
      <w:pPr>
        <w:pStyle w:val="60"/>
        <w:spacing w:line="320" w:lineRule="atLeast"/>
        <w:ind w:left="178" w:firstLine="420"/>
        <w:rPr>
          <w:rFonts w:asciiTheme="minorEastAsia" w:hAnsiTheme="minorEastAsia" w:eastAsiaTheme="minorEastAsia"/>
        </w:rPr>
      </w:pPr>
      <w:r>
        <w:rPr>
          <w:rFonts w:hint="eastAsia" w:asciiTheme="minorEastAsia" w:hAnsiTheme="minorEastAsia" w:eastAsiaTheme="minorEastAsia"/>
        </w:rPr>
        <w:t>容量支持通气（PSV+TTV）</w:t>
      </w:r>
    </w:p>
    <w:p>
      <w:pPr>
        <w:rPr>
          <w:rFonts w:asciiTheme="minorEastAsia" w:hAnsiTheme="minorEastAsia"/>
          <w:sz w:val="24"/>
          <w:szCs w:val="24"/>
        </w:rPr>
      </w:pPr>
      <w:r>
        <w:rPr>
          <w:rFonts w:hint="eastAsia" w:asciiTheme="minorEastAsia" w:hAnsiTheme="minorEastAsia"/>
        </w:rPr>
        <w:t xml:space="preserve">      智能容量目标/压力调节窒息后备通气</w:t>
      </w:r>
    </w:p>
    <w:p>
      <w:pPr>
        <w:rPr>
          <w:rFonts w:asciiTheme="minorEastAsia" w:hAnsiTheme="minorEastAsia"/>
          <w:sz w:val="24"/>
          <w:szCs w:val="24"/>
        </w:rPr>
      </w:pPr>
      <w:r>
        <w:rPr>
          <w:rFonts w:hint="eastAsia" w:asciiTheme="minorEastAsia" w:hAnsiTheme="minorEastAsia"/>
          <w:sz w:val="24"/>
          <w:szCs w:val="24"/>
        </w:rPr>
        <w:t>5.5、潮气量：2-200ml</w:t>
      </w:r>
    </w:p>
    <w:p>
      <w:pPr>
        <w:rPr>
          <w:rFonts w:asciiTheme="minorEastAsia" w:hAnsiTheme="minorEastAsia"/>
          <w:sz w:val="24"/>
          <w:szCs w:val="24"/>
        </w:rPr>
      </w:pPr>
      <w:r>
        <w:rPr>
          <w:rFonts w:hint="eastAsia" w:asciiTheme="minorEastAsia" w:hAnsiTheme="minorEastAsia"/>
          <w:sz w:val="24"/>
          <w:szCs w:val="24"/>
        </w:rPr>
        <w:t>5.5、氧浓度：21-100％</w:t>
      </w:r>
    </w:p>
    <w:p>
      <w:pPr>
        <w:rPr>
          <w:rFonts w:asciiTheme="minorEastAsia" w:hAnsiTheme="minorEastAsia"/>
          <w:sz w:val="24"/>
          <w:szCs w:val="24"/>
        </w:rPr>
      </w:pPr>
      <w:r>
        <w:rPr>
          <w:rFonts w:hint="eastAsia" w:asciiTheme="minorEastAsia" w:hAnsiTheme="minorEastAsia"/>
          <w:sz w:val="24"/>
          <w:szCs w:val="24"/>
        </w:rPr>
        <w:t>5.6、PEEP/CPAP:0-20mbar</w:t>
      </w:r>
    </w:p>
    <w:p>
      <w:pPr>
        <w:pStyle w:val="60"/>
        <w:spacing w:line="3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5.7、手动通气</w:t>
      </w:r>
    </w:p>
    <w:p>
      <w:pPr>
        <w:pStyle w:val="60"/>
        <w:spacing w:line="3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5.8、容量目标2-200ml</w:t>
      </w:r>
    </w:p>
    <w:p>
      <w:pPr>
        <w:pStyle w:val="60"/>
        <w:spacing w:line="3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5.9、压力限制：0-65mbar</w:t>
      </w:r>
    </w:p>
    <w:p>
      <w:pPr>
        <w:pStyle w:val="60"/>
        <w:spacing w:line="3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5.10、气道平均压：0-35mbar</w:t>
      </w:r>
    </w:p>
    <w:p>
      <w:pPr>
        <w:pStyle w:val="60"/>
        <w:spacing w:line="3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5.11、呼吸频率：1-150次/分</w:t>
      </w:r>
    </w:p>
    <w:p>
      <w:pPr>
        <w:rPr>
          <w:rFonts w:asciiTheme="minorEastAsia" w:hAnsiTheme="minorEastAsia"/>
          <w:sz w:val="24"/>
          <w:szCs w:val="24"/>
        </w:rPr>
      </w:pPr>
      <w:r>
        <w:rPr>
          <w:rFonts w:hint="eastAsia" w:asciiTheme="minorEastAsia" w:hAnsiTheme="minorEastAsia"/>
          <w:sz w:val="24"/>
          <w:szCs w:val="24"/>
        </w:rPr>
        <w:t>6、高频通气技术：</w:t>
      </w:r>
    </w:p>
    <w:p>
      <w:pPr>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.1</w:t>
      </w:r>
      <w:r>
        <w:rPr>
          <w:rFonts w:hint="eastAsia" w:asciiTheme="minorEastAsia" w:hAnsiTheme="minorEastAsia"/>
          <w:sz w:val="24"/>
          <w:szCs w:val="24"/>
        </w:rPr>
        <w:t>、</w:t>
      </w:r>
      <w:r>
        <w:rPr>
          <w:rFonts w:hint="eastAsia" w:cs="Arial" w:asciiTheme="minorEastAsia" w:hAnsiTheme="minorEastAsia"/>
          <w:sz w:val="24"/>
          <w:szCs w:val="24"/>
        </w:rPr>
        <w:t>HFO高频振荡通气，HFO+CMV 可选择呼气相或全振荡</w:t>
      </w:r>
    </w:p>
    <w:p>
      <w:pPr>
        <w:rPr>
          <w:rFonts w:asciiTheme="minorEastAsia" w:hAnsiTheme="minorEastAsia"/>
          <w:sz w:val="24"/>
          <w:szCs w:val="24"/>
        </w:rPr>
      </w:pPr>
      <w:r>
        <w:rPr>
          <w:rFonts w:hint="eastAsia" w:asciiTheme="minorEastAsia" w:hAnsiTheme="minorEastAsia"/>
          <w:sz w:val="24"/>
          <w:szCs w:val="24"/>
        </w:rPr>
        <w:t>▲6.</w:t>
      </w:r>
      <w:r>
        <w:rPr>
          <w:rFonts w:asciiTheme="minorEastAsia" w:hAnsiTheme="minorEastAsia"/>
          <w:sz w:val="24"/>
          <w:szCs w:val="24"/>
        </w:rPr>
        <w:t>2</w:t>
      </w:r>
      <w:r>
        <w:rPr>
          <w:rFonts w:hint="eastAsia" w:asciiTheme="minorEastAsia" w:hAnsiTheme="minorEastAsia"/>
          <w:sz w:val="24"/>
          <w:szCs w:val="24"/>
        </w:rPr>
        <w:t>、振荡频率：3HZ-20HZ</w:t>
      </w:r>
    </w:p>
    <w:p>
      <w:pPr>
        <w:pStyle w:val="60"/>
        <w:spacing w:line="32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3</w:t>
      </w:r>
      <w:r>
        <w:rPr>
          <w:rFonts w:hint="eastAsia" w:asciiTheme="minorEastAsia" w:hAnsiTheme="minorEastAsia" w:eastAsiaTheme="minorEastAsia"/>
          <w:sz w:val="24"/>
          <w:szCs w:val="24"/>
        </w:rPr>
        <w:t>、振荡振幅： 4 -100</w:t>
      </w:r>
      <w:r>
        <w:rPr>
          <w:rFonts w:asciiTheme="minorEastAsia" w:hAnsiTheme="minorEastAsia" w:eastAsiaTheme="minorEastAsia"/>
          <w:sz w:val="24"/>
          <w:szCs w:val="24"/>
        </w:rPr>
        <w:t>%</w:t>
      </w:r>
      <w:r>
        <w:rPr>
          <w:rFonts w:hint="eastAsia" w:asciiTheme="minorEastAsia" w:hAnsiTheme="minorEastAsia" w:eastAsiaTheme="minorEastAsia"/>
          <w:sz w:val="24"/>
          <w:szCs w:val="24"/>
        </w:rPr>
        <w:t>或（4-180cmH</w:t>
      </w:r>
      <w:r>
        <w:rPr>
          <w:rFonts w:hint="eastAsia" w:asciiTheme="minorEastAsia" w:hAnsiTheme="minorEastAsia" w:eastAsiaTheme="minorEastAsia"/>
          <w:sz w:val="24"/>
          <w:szCs w:val="24"/>
          <w:vertAlign w:val="subscript"/>
        </w:rPr>
        <w:t>2</w:t>
      </w:r>
      <w:r>
        <w:rPr>
          <w:rFonts w:hint="eastAsia" w:asciiTheme="minorEastAsia" w:hAnsiTheme="minorEastAsia" w:eastAsiaTheme="minorEastAsia"/>
          <w:sz w:val="24"/>
          <w:szCs w:val="24"/>
        </w:rPr>
        <w:t>O）</w:t>
      </w:r>
    </w:p>
    <w:p>
      <w:pPr>
        <w:rPr>
          <w:rFonts w:asciiTheme="minorEastAsia" w:hAnsiTheme="minorEastAsia"/>
          <w:bCs/>
          <w:sz w:val="24"/>
          <w:szCs w:val="24"/>
        </w:rPr>
      </w:pPr>
      <w:r>
        <w:rPr>
          <w:rFonts w:hint="eastAsia" w:asciiTheme="minorEastAsia" w:hAnsiTheme="minorEastAsia"/>
          <w:sz w:val="24"/>
          <w:szCs w:val="24"/>
        </w:rPr>
        <w:t>▲</w:t>
      </w:r>
      <w:r>
        <w:rPr>
          <w:rFonts w:hint="eastAsia" w:asciiTheme="minorEastAsia" w:hAnsiTheme="minorEastAsia"/>
          <w:bCs/>
          <w:sz w:val="24"/>
          <w:szCs w:val="24"/>
        </w:rPr>
        <w:t>6</w:t>
      </w:r>
      <w:r>
        <w:rPr>
          <w:rFonts w:asciiTheme="minorEastAsia" w:hAnsiTheme="minorEastAsia"/>
          <w:bCs/>
          <w:sz w:val="24"/>
          <w:szCs w:val="24"/>
        </w:rPr>
        <w:t>.4</w:t>
      </w:r>
      <w:r>
        <w:rPr>
          <w:rFonts w:hint="eastAsia" w:asciiTheme="minorEastAsia" w:hAnsiTheme="minorEastAsia"/>
          <w:bCs/>
          <w:sz w:val="24"/>
          <w:szCs w:val="24"/>
        </w:rPr>
        <w:t>、高频模式吸呼比</w:t>
      </w:r>
      <w:r>
        <w:rPr>
          <w:rFonts w:hint="eastAsia" w:asciiTheme="minorEastAsia" w:hAnsiTheme="minorEastAsia"/>
          <w:sz w:val="24"/>
          <w:szCs w:val="24"/>
        </w:rPr>
        <w:t>1:2:3</w:t>
      </w:r>
      <w:r>
        <w:rPr>
          <w:rFonts w:hint="eastAsia" w:asciiTheme="minorEastAsia" w:hAnsiTheme="minorEastAsia"/>
          <w:bCs/>
          <w:sz w:val="24"/>
          <w:szCs w:val="24"/>
        </w:rPr>
        <w:t>可调</w:t>
      </w:r>
    </w:p>
    <w:p>
      <w:pPr>
        <w:rPr>
          <w:rFonts w:asciiTheme="minorEastAsia" w:hAnsiTheme="minorEastAsia"/>
          <w:bCs/>
          <w:sz w:val="24"/>
          <w:szCs w:val="24"/>
        </w:rPr>
      </w:pPr>
      <w:r>
        <w:rPr>
          <w:rFonts w:hint="eastAsia" w:asciiTheme="minorEastAsia" w:hAnsiTheme="minorEastAsia"/>
          <w:sz w:val="24"/>
          <w:szCs w:val="24"/>
        </w:rPr>
        <w:t>▲6.5、配备有创、无创高频、</w:t>
      </w:r>
      <w:r>
        <w:rPr>
          <w:rFonts w:hint="eastAsia" w:asciiTheme="minorEastAsia" w:hAnsiTheme="minorEastAsia"/>
          <w:bCs/>
          <w:sz w:val="24"/>
          <w:szCs w:val="24"/>
        </w:rPr>
        <w:t>备压缩空气气源</w:t>
      </w:r>
    </w:p>
    <w:p>
      <w:pPr>
        <w:rPr>
          <w:rFonts w:asciiTheme="minorEastAsia" w:hAnsiTheme="minorEastAsia"/>
          <w:sz w:val="24"/>
          <w:szCs w:val="24"/>
        </w:rPr>
      </w:pPr>
      <w:r>
        <w:rPr>
          <w:rFonts w:hint="eastAsia" w:asciiTheme="minorEastAsia" w:hAnsiTheme="minorEastAsia"/>
          <w:sz w:val="24"/>
          <w:szCs w:val="24"/>
        </w:rPr>
        <w:t>7、彩色无旋钮中文菜单触摸屏≥12</w:t>
      </w:r>
      <w:r>
        <w:rPr>
          <w:rFonts w:asciiTheme="minorEastAsia" w:hAnsiTheme="minorEastAsia"/>
          <w:sz w:val="24"/>
          <w:szCs w:val="24"/>
        </w:rPr>
        <w:t>”</w:t>
      </w:r>
      <w:r>
        <w:rPr>
          <w:rFonts w:hint="eastAsia" w:asciiTheme="minorEastAsia" w:hAnsiTheme="minorEastAsia"/>
          <w:sz w:val="24"/>
          <w:szCs w:val="24"/>
        </w:rPr>
        <w:t>英寸，非外接大屏幕。可显示显示压力（P）、容量（V）、流速（flow）呼吸参数波形</w:t>
      </w:r>
    </w:p>
    <w:p>
      <w:pPr>
        <w:rPr>
          <w:rFonts w:asciiTheme="minorEastAsia" w:hAnsiTheme="minorEastAsia"/>
          <w:sz w:val="24"/>
          <w:szCs w:val="24"/>
        </w:rPr>
      </w:pPr>
      <w:r>
        <w:rPr>
          <w:rFonts w:hint="eastAsia" w:asciiTheme="minorEastAsia" w:hAnsiTheme="minorEastAsia"/>
          <w:sz w:val="24"/>
          <w:szCs w:val="24"/>
        </w:rPr>
        <w:t>8、呼吸机主要监测功能：</w:t>
      </w:r>
    </w:p>
    <w:p>
      <w:pPr>
        <w:pStyle w:val="60"/>
        <w:spacing w:line="36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8.1、数据监测:气道峰压，平均压，PEEP，频率，总频率，自主呼吸频率，吸气时间，呼气时间，呼出潮气量，呼出分钟通气量，呼吸比，氧浓度，阻力，顺应性，漏气％，C20/C肺顺应性，DCO2</w:t>
      </w:r>
    </w:p>
    <w:p>
      <w:pPr>
        <w:pStyle w:val="60"/>
        <w:spacing w:line="36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8.2、图形监测:波形：压力，流速，容量。可储存用以前后比较。环线：流速-压力，流速-容量，压力-容量。可存储用以前后比较。趋势：潮气量，分钟通气量，峰压，平均压，PEEP，频率，氧浓度，DCO2</w:t>
      </w:r>
    </w:p>
    <w:p>
      <w:pPr>
        <w:rPr>
          <w:rFonts w:asciiTheme="minorEastAsia" w:hAnsiTheme="minorEastAsia"/>
          <w:bCs/>
          <w:sz w:val="24"/>
          <w:szCs w:val="24"/>
        </w:rPr>
      </w:pPr>
      <w:r>
        <w:rPr>
          <w:rFonts w:hint="eastAsia" w:asciiTheme="minorEastAsia" w:hAnsiTheme="minorEastAsia"/>
          <w:sz w:val="24"/>
          <w:szCs w:val="24"/>
        </w:rPr>
        <w:t>▲9、</w:t>
      </w:r>
      <w:r>
        <w:rPr>
          <w:rFonts w:hint="eastAsia" w:asciiTheme="minorEastAsia" w:hAnsiTheme="minorEastAsia"/>
          <w:bCs/>
          <w:sz w:val="24"/>
          <w:szCs w:val="24"/>
        </w:rPr>
        <w:t>湿化系统：加温湿化系统，可手动调节温度和湿度</w:t>
      </w:r>
    </w:p>
    <w:p>
      <w:pPr>
        <w:rPr>
          <w:rFonts w:asciiTheme="minorEastAsia" w:hAnsiTheme="minorEastAsia"/>
          <w:sz w:val="24"/>
          <w:szCs w:val="24"/>
        </w:rPr>
      </w:pPr>
      <w:r>
        <w:rPr>
          <w:rFonts w:hint="eastAsia" w:asciiTheme="minorEastAsia" w:hAnsiTheme="minorEastAsia"/>
          <w:bCs/>
          <w:sz w:val="24"/>
          <w:szCs w:val="24"/>
        </w:rPr>
        <w:t>10、</w:t>
      </w:r>
      <w:r>
        <w:rPr>
          <w:rFonts w:hint="eastAsia" w:asciiTheme="minorEastAsia" w:hAnsiTheme="minorEastAsia"/>
          <w:sz w:val="24"/>
          <w:szCs w:val="24"/>
        </w:rPr>
        <w:t>报警项目：</w:t>
      </w:r>
    </w:p>
    <w:p>
      <w:pPr>
        <w:pStyle w:val="60"/>
        <w:spacing w:line="360" w:lineRule="atLeast"/>
        <w:ind w:left="142"/>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10.1、压力报警：气道峰压、气道平均压、呼气末正压</w:t>
      </w:r>
    </w:p>
    <w:p>
      <w:pPr>
        <w:pStyle w:val="60"/>
        <w:spacing w:line="360" w:lineRule="atLeast"/>
        <w:ind w:left="142"/>
        <w:jc w:val="left"/>
        <w:rPr>
          <w:rFonts w:asciiTheme="minorEastAsia" w:hAnsiTheme="minorEastAsia" w:eastAsiaTheme="minorEastAsia"/>
          <w:sz w:val="24"/>
          <w:szCs w:val="24"/>
        </w:rPr>
      </w:pPr>
      <w:r>
        <w:rPr>
          <w:rFonts w:hint="eastAsia" w:asciiTheme="minorEastAsia" w:hAnsiTheme="minorEastAsia" w:eastAsiaTheme="minorEastAsia"/>
          <w:sz w:val="24"/>
          <w:szCs w:val="24"/>
        </w:rPr>
        <w:t>10.2、容量报警：呼出潮气量、分钟通气量、震荡分钟通气量</w:t>
      </w:r>
    </w:p>
    <w:p>
      <w:pPr>
        <w:pStyle w:val="60"/>
        <w:spacing w:line="360" w:lineRule="atLeast"/>
        <w:ind w:left="142"/>
        <w:jc w:val="left"/>
        <w:rPr>
          <w:rFonts w:hint="eastAsia" w:cs="Times New Roman" w:asciiTheme="minorEastAsia" w:hAnsiTheme="minorEastAsia" w:eastAsiaTheme="minorEastAsia"/>
          <w:b/>
          <w:bCs/>
          <w:color w:val="auto"/>
          <w:kern w:val="2"/>
          <w:sz w:val="30"/>
          <w:szCs w:val="30"/>
          <w:lang w:val="en-US" w:eastAsia="zh-CN" w:bidi="ar-SA"/>
        </w:rPr>
      </w:pPr>
      <w:r>
        <w:rPr>
          <w:rFonts w:hint="eastAsia" w:asciiTheme="minorEastAsia" w:hAnsiTheme="minorEastAsia" w:eastAsiaTheme="minorEastAsia"/>
          <w:sz w:val="24"/>
          <w:szCs w:val="24"/>
        </w:rPr>
        <w:t>10.3、其他报警：呼吸管道脱落、气源、电源异常、吸入氧浓度、吸入气体温度、窒息</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配送及安装地址：比选人指定地点。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2.1质保期：新生儿高频呼吸机至少</w:t>
      </w:r>
      <w:r>
        <w:rPr>
          <w:rFonts w:hint="eastAsia" w:ascii="Times New Roman" w:hAnsi="Times New Roman"/>
          <w:sz w:val="24"/>
          <w:lang w:val="en-US" w:eastAsia="zh-CN"/>
        </w:rPr>
        <w:t>3</w:t>
      </w:r>
      <w:r>
        <w:rPr>
          <w:rFonts w:hint="eastAsia" w:cs="Times New Roman" w:asciiTheme="minorEastAsia" w:hAnsiTheme="minorEastAsia" w:eastAsiaTheme="minorEastAsia"/>
          <w:color w:val="auto"/>
          <w:kern w:val="2"/>
          <w:sz w:val="24"/>
          <w:szCs w:val="24"/>
          <w:lang w:val="en-US" w:eastAsia="zh-CN" w:bidi="ar-SA"/>
        </w:rPr>
        <w:t>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ascii="Times New Roman" w:hAnsi="Times New Roman"/>
          <w:b/>
          <w:bCs/>
          <w:kern w:val="0"/>
          <w:sz w:val="32"/>
          <w:szCs w:val="32"/>
        </w:rPr>
      </w:pPr>
      <w:bookmarkStart w:id="9" w:name="_Toc520455385"/>
      <w:r>
        <w:rPr>
          <w:rFonts w:ascii="Times New Roman" w:hAnsi="Times New Roman"/>
          <w:b/>
          <w:bCs/>
          <w:kern w:val="0"/>
          <w:sz w:val="32"/>
          <w:szCs w:val="32"/>
        </w:rPr>
        <w:t xml:space="preserve"> </w:t>
      </w:r>
    </w:p>
    <w:p>
      <w:pPr>
        <w:spacing w:line="360" w:lineRule="auto"/>
        <w:jc w:val="left"/>
        <w:rPr>
          <w:rFonts w:ascii="Times New Roman" w:hAnsi="Times New Roman"/>
          <w:bCs/>
          <w:kern w:val="0"/>
          <w:sz w:val="24"/>
          <w:szCs w:val="20"/>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tbl>
      <w:tblPr>
        <w:tblStyle w:val="2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30"/>
        <w:gridCol w:w="864"/>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color w:val="auto"/>
                <w:szCs w:val="21"/>
              </w:rPr>
            </w:pPr>
            <w:r>
              <w:rPr>
                <w:rFonts w:hint="eastAsia" w:ascii="宋体" w:hAnsi="宋体"/>
                <w:color w:val="auto"/>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评分因素及权重</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color w:val="auto"/>
                <w:szCs w:val="21"/>
              </w:rPr>
            </w:pPr>
            <w:r>
              <w:rPr>
                <w:rFonts w:hint="eastAsia" w:ascii="宋体" w:hAnsi="宋体"/>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报价</w:t>
            </w:r>
            <w:r>
              <w:rPr>
                <w:rFonts w:hint="eastAsia" w:ascii="宋体" w:hAnsi="宋体"/>
                <w:bCs/>
                <w:color w:val="auto"/>
                <w:szCs w:val="21"/>
                <w:lang w:val="en-US" w:eastAsia="zh-CN"/>
              </w:rPr>
              <w:t>30%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以本次符合要求的最低的有效投标报价为基准价，投标报价得分</w:t>
            </w:r>
            <w:r>
              <w:rPr>
                <w:rFonts w:ascii="宋体" w:hAnsi="宋体"/>
                <w:color w:val="auto"/>
                <w:szCs w:val="21"/>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技术指标和配置</w:t>
            </w:r>
            <w:r>
              <w:rPr>
                <w:rFonts w:hint="eastAsia" w:ascii="宋体" w:hAnsi="宋体"/>
                <w:bCs/>
                <w:color w:val="auto"/>
                <w:szCs w:val="21"/>
                <w:lang w:val="en-US" w:eastAsia="zh-CN"/>
              </w:rPr>
              <w:t>60%</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完全符合招标文件要求没有负偏离得60</w:t>
            </w:r>
            <w:r>
              <w:rPr>
                <w:rFonts w:ascii="宋体" w:hAnsi="宋体"/>
                <w:color w:val="auto"/>
                <w:szCs w:val="21"/>
              </w:rPr>
              <w:t>分；星号条款(标注▲)的技术参数，一条不满足扣</w:t>
            </w:r>
            <w:r>
              <w:rPr>
                <w:rFonts w:hint="eastAsia" w:ascii="宋体" w:hAnsi="宋体"/>
                <w:color w:val="auto"/>
                <w:szCs w:val="21"/>
              </w:rPr>
              <w:t>5</w:t>
            </w:r>
            <w:r>
              <w:rPr>
                <w:rFonts w:ascii="宋体" w:hAnsi="宋体"/>
                <w:color w:val="auto"/>
                <w:szCs w:val="21"/>
              </w:rPr>
              <w:t>分，非星号条款的技术参数，一条不满足扣</w:t>
            </w:r>
            <w:r>
              <w:rPr>
                <w:rFonts w:hint="eastAsia" w:ascii="宋体" w:hAnsi="宋体"/>
                <w:color w:val="auto"/>
                <w:szCs w:val="21"/>
              </w:rPr>
              <w:t>2</w:t>
            </w:r>
            <w:r>
              <w:rPr>
                <w:rFonts w:ascii="宋体" w:hAnsi="宋体"/>
                <w:color w:val="auto"/>
                <w:szCs w:val="21"/>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ascii="宋体" w:hAnsi="宋体"/>
                <w:color w:val="auto"/>
                <w:szCs w:val="21"/>
              </w:rPr>
              <w:t>▲</w:t>
            </w:r>
            <w:r>
              <w:rPr>
                <w:rFonts w:hint="eastAsia" w:ascii="宋体" w:hAnsi="宋体"/>
                <w:color w:val="auto"/>
                <w:szCs w:val="21"/>
              </w:rPr>
              <w:t>号参数须提供白皮书或产品说明书或检测报告证明材料作为佐证。不提供不得分。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履约能力</w:t>
            </w:r>
            <w:r>
              <w:rPr>
                <w:rFonts w:hint="eastAsia" w:ascii="宋体" w:hAnsi="宋体"/>
                <w:bCs/>
                <w:color w:val="auto"/>
                <w:szCs w:val="21"/>
                <w:lang w:val="en-US" w:eastAsia="zh-CN"/>
              </w:rPr>
              <w:t>4%</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Cs w:val="21"/>
                <w:lang w:eastAsia="zh-CN"/>
              </w:rPr>
            </w:pPr>
            <w:r>
              <w:rPr>
                <w:rFonts w:hint="eastAsia" w:ascii="宋体" w:hAnsi="宋体"/>
                <w:bCs/>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根据投标人</w:t>
            </w:r>
            <w:r>
              <w:rPr>
                <w:rFonts w:ascii="宋体" w:hAnsi="宋体"/>
                <w:color w:val="auto"/>
                <w:szCs w:val="21"/>
              </w:rPr>
              <w:t>20</w:t>
            </w:r>
            <w:r>
              <w:rPr>
                <w:rFonts w:hint="eastAsia" w:ascii="宋体" w:hAnsi="宋体"/>
                <w:color w:val="auto"/>
                <w:szCs w:val="21"/>
                <w:lang w:val="en-US" w:eastAsia="zh-CN"/>
              </w:rPr>
              <w:t>20</w:t>
            </w:r>
            <w:r>
              <w:rPr>
                <w:rFonts w:ascii="宋体" w:hAnsi="宋体"/>
                <w:color w:val="auto"/>
                <w:szCs w:val="21"/>
              </w:rPr>
              <w:t>年以来</w:t>
            </w:r>
            <w:r>
              <w:rPr>
                <w:rFonts w:hint="eastAsia" w:ascii="宋体" w:hAnsi="宋体"/>
                <w:color w:val="auto"/>
                <w:szCs w:val="21"/>
                <w:lang w:eastAsia="zh-CN"/>
              </w:rPr>
              <w:t>类似</w:t>
            </w:r>
            <w:r>
              <w:rPr>
                <w:rFonts w:ascii="宋体" w:hAnsi="宋体"/>
                <w:color w:val="auto"/>
                <w:szCs w:val="21"/>
              </w:rPr>
              <w:t>业绩计算，</w:t>
            </w:r>
            <w:r>
              <w:rPr>
                <w:rFonts w:hint="eastAsia" w:ascii="宋体" w:hAnsi="宋体"/>
                <w:color w:val="auto"/>
                <w:szCs w:val="21"/>
                <w:lang w:eastAsia="zh-CN"/>
              </w:rPr>
              <w:t>每提供</w:t>
            </w:r>
            <w:r>
              <w:rPr>
                <w:rFonts w:ascii="宋体" w:hAnsi="宋体"/>
                <w:color w:val="auto"/>
                <w:szCs w:val="21"/>
              </w:rPr>
              <w:t>合同一个得0.5分，最多得</w:t>
            </w:r>
            <w:r>
              <w:rPr>
                <w:rFonts w:hint="eastAsia" w:ascii="宋体" w:hAnsi="宋体"/>
                <w:color w:val="auto"/>
                <w:szCs w:val="21"/>
                <w:lang w:val="en-US" w:eastAsia="zh-CN"/>
              </w:rPr>
              <w:t>4</w:t>
            </w:r>
            <w:r>
              <w:rPr>
                <w:rFonts w:ascii="宋体" w:hAnsi="宋体"/>
                <w:color w:val="auto"/>
                <w:szCs w:val="21"/>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r>
              <w:rPr>
                <w:rFonts w:hint="eastAsia" w:ascii="宋体" w:hAnsi="宋体"/>
                <w:color w:val="auto"/>
                <w:szCs w:val="21"/>
              </w:rPr>
              <w:t>类似业绩指：同品牌同型号设备销售业绩。</w:t>
            </w:r>
          </w:p>
          <w:p>
            <w:pPr>
              <w:spacing w:line="0" w:lineRule="atLeast"/>
              <w:jc w:val="center"/>
              <w:rPr>
                <w:rFonts w:ascii="宋体" w:hAnsi="宋体"/>
                <w:color w:val="auto"/>
                <w:szCs w:val="21"/>
              </w:rPr>
            </w:pPr>
            <w:r>
              <w:rPr>
                <w:rFonts w:hint="eastAsia" w:ascii="宋体" w:hAnsi="宋体"/>
                <w:color w:val="auto"/>
                <w:szCs w:val="21"/>
              </w:rPr>
              <w:t>提供合同</w:t>
            </w:r>
            <w:r>
              <w:rPr>
                <w:rFonts w:ascii="宋体" w:hAnsi="宋体"/>
                <w:color w:val="auto"/>
                <w:szCs w:val="21"/>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ascii="宋体" w:hAnsi="宋体"/>
                <w:bCs/>
                <w:color w:val="auto"/>
                <w:szCs w:val="21"/>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Cs w:val="21"/>
                <w:lang w:val="en-US" w:eastAsia="zh-CN"/>
              </w:rPr>
            </w:pPr>
            <w:r>
              <w:rPr>
                <w:rFonts w:hint="eastAsia" w:ascii="宋体" w:hAnsi="宋体"/>
                <w:bCs/>
                <w:color w:val="auto"/>
                <w:szCs w:val="21"/>
              </w:rPr>
              <w:t>售后服务</w:t>
            </w:r>
            <w:r>
              <w:rPr>
                <w:rFonts w:hint="eastAsia" w:ascii="宋体" w:hAnsi="宋体"/>
                <w:bCs/>
                <w:color w:val="auto"/>
                <w:szCs w:val="21"/>
                <w:lang w:val="en-US" w:eastAsia="zh-CN"/>
              </w:rPr>
              <w:t>6%</w:t>
            </w:r>
          </w:p>
        </w:tc>
        <w:tc>
          <w:tcPr>
            <w:tcW w:w="86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Cs w:val="21"/>
              </w:rPr>
            </w:pPr>
            <w:r>
              <w:rPr>
                <w:rFonts w:hint="eastAsia" w:ascii="宋体" w:hAnsi="宋体"/>
                <w:bCs/>
                <w:color w:val="auto"/>
                <w:szCs w:val="21"/>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Cs w:val="21"/>
              </w:rPr>
            </w:pPr>
            <w:r>
              <w:rPr>
                <w:rFonts w:hint="eastAsia" w:ascii="宋体" w:hAnsi="宋体"/>
                <w:color w:val="auto"/>
                <w:szCs w:val="21"/>
              </w:rPr>
              <w:t>投标人提供完善的服务方案,完全符合招标文件商务要求的得</w:t>
            </w:r>
            <w:r>
              <w:rPr>
                <w:rFonts w:hint="eastAsia" w:ascii="宋体" w:hAnsi="宋体"/>
                <w:color w:val="auto"/>
                <w:szCs w:val="21"/>
                <w:lang w:val="en-US" w:eastAsia="zh-CN"/>
              </w:rPr>
              <w:t>6</w:t>
            </w:r>
            <w:r>
              <w:rPr>
                <w:rFonts w:ascii="宋体" w:hAnsi="宋体"/>
                <w:color w:val="auto"/>
                <w:szCs w:val="21"/>
              </w:rPr>
              <w:t>分；每有一项缺项漏项的扣2分，扣完为止；每有一项阐述不清、描述不明、描述错误得扣1分。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Cs w:val="21"/>
              </w:rPr>
            </w:pPr>
          </w:p>
        </w:tc>
      </w:tr>
    </w:tbl>
    <w:p>
      <w:pPr>
        <w:rPr>
          <w:rFonts w:ascii="Times New Roman" w:hAnsi="Times New Roman"/>
          <w:sz w:val="36"/>
          <w:szCs w:val="36"/>
        </w:rPr>
      </w:pPr>
      <w:r>
        <w:rPr>
          <w:rFonts w:ascii="Times New Roman" w:hAnsi="Times New Roman"/>
          <w:sz w:val="36"/>
          <w:szCs w:val="36"/>
        </w:rPr>
        <w:br w:type="page"/>
      </w:r>
    </w:p>
    <w:p>
      <w:pPr>
        <w:pStyle w:val="2"/>
        <w:jc w:val="both"/>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lang w:eastAsia="zh-CN"/>
        </w:rPr>
        <w:t>四</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7、提供医疗器械经营许可证或医疗器械经营备案凭证复印件（本条对I类医疗器械产品，不具效力）。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8、法定代表人/单位负责人授权委托书（法定代表人/单位负责人或自然人直接参与投标的除外）。</w:t>
      </w:r>
    </w:p>
    <w:p>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hint="eastAsia" w:ascii="Times New Roman" w:hAnsi="Times New Roman"/>
          <w:color w:val="0D0D0D"/>
          <w:kern w:val="0"/>
          <w:sz w:val="24"/>
          <w:lang w:val="zh-CN"/>
        </w:rPr>
        <w:t>提供产品的医疗器械产品注册证或备案凭证复印件（非医疗器械产品除外）</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both"/>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4051805"/>
      <w:bookmarkStart w:id="11" w:name="_Toc33698132"/>
      <w:bookmarkStart w:id="12" w:name="_Toc40447267"/>
      <w:bookmarkStart w:id="13" w:name="_Toc52036326"/>
      <w:bookmarkStart w:id="14" w:name="_Toc33709793"/>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3709794"/>
      <w:bookmarkStart w:id="16" w:name="_Toc52036327"/>
      <w:bookmarkStart w:id="17" w:name="_Toc34051806"/>
      <w:bookmarkStart w:id="18" w:name="_Toc40447268"/>
      <w:bookmarkStart w:id="19" w:name="_Toc33698133"/>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3709795"/>
      <w:bookmarkStart w:id="21" w:name="_Toc33698134"/>
      <w:bookmarkStart w:id="22" w:name="_Toc52036328"/>
      <w:bookmarkStart w:id="23" w:name="_Toc34051807"/>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34051808"/>
      <w:bookmarkStart w:id="28" w:name="_Toc40447270"/>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410129"/>
      <w:bookmarkStart w:id="32" w:name="_Toc436820890"/>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04"/>
      <w:bookmarkStart w:id="36" w:name="_Toc503986415"/>
      <w:bookmarkStart w:id="37" w:name="_Toc503987183"/>
      <w:bookmarkStart w:id="38" w:name="_Toc503987293"/>
      <w:bookmarkStart w:id="39" w:name="_Toc503986971"/>
      <w:bookmarkStart w:id="40" w:name="_Toc503986838"/>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40447271"/>
      <w:bookmarkStart w:id="43" w:name="_Toc52036330"/>
      <w:bookmarkStart w:id="44" w:name="_Toc33698136"/>
      <w:bookmarkStart w:id="45" w:name="_Toc34051809"/>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40447272"/>
      <w:bookmarkStart w:id="47" w:name="_Toc52036331"/>
      <w:bookmarkStart w:id="48" w:name="_Toc34051810"/>
      <w:bookmarkStart w:id="49" w:name="_Toc33698137"/>
      <w:bookmarkStart w:id="50" w:name="_Toc33709798"/>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5AE55"/>
    <w:multiLevelType w:val="singleLevel"/>
    <w:tmpl w:val="01F5AE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3564A3B"/>
    <w:rsid w:val="063965C9"/>
    <w:rsid w:val="08A6123D"/>
    <w:rsid w:val="0AFA5A96"/>
    <w:rsid w:val="0B6010B4"/>
    <w:rsid w:val="0CD27FFC"/>
    <w:rsid w:val="0DAC4D70"/>
    <w:rsid w:val="0E677033"/>
    <w:rsid w:val="0E7F1957"/>
    <w:rsid w:val="0E877E3B"/>
    <w:rsid w:val="0FE16FFE"/>
    <w:rsid w:val="10B93AD7"/>
    <w:rsid w:val="15200185"/>
    <w:rsid w:val="15304B56"/>
    <w:rsid w:val="1565422D"/>
    <w:rsid w:val="17122347"/>
    <w:rsid w:val="17F6222D"/>
    <w:rsid w:val="18584033"/>
    <w:rsid w:val="1B4D05AA"/>
    <w:rsid w:val="1B74042F"/>
    <w:rsid w:val="1BAC4722"/>
    <w:rsid w:val="1C281231"/>
    <w:rsid w:val="1C55764F"/>
    <w:rsid w:val="1F2324A2"/>
    <w:rsid w:val="1FDE786A"/>
    <w:rsid w:val="20A2053B"/>
    <w:rsid w:val="20D54F08"/>
    <w:rsid w:val="20ED7DFF"/>
    <w:rsid w:val="247F6619"/>
    <w:rsid w:val="26121A4B"/>
    <w:rsid w:val="26463681"/>
    <w:rsid w:val="290322B0"/>
    <w:rsid w:val="29A7364C"/>
    <w:rsid w:val="2A092A55"/>
    <w:rsid w:val="2BFC0981"/>
    <w:rsid w:val="2F5D26AF"/>
    <w:rsid w:val="2FB70420"/>
    <w:rsid w:val="33D16649"/>
    <w:rsid w:val="3410163B"/>
    <w:rsid w:val="352C0BF7"/>
    <w:rsid w:val="35DF103A"/>
    <w:rsid w:val="3609706D"/>
    <w:rsid w:val="37164E99"/>
    <w:rsid w:val="39202673"/>
    <w:rsid w:val="3BF758E5"/>
    <w:rsid w:val="3C693B9A"/>
    <w:rsid w:val="3FDC7247"/>
    <w:rsid w:val="40986E13"/>
    <w:rsid w:val="40F37FB8"/>
    <w:rsid w:val="44650F3F"/>
    <w:rsid w:val="44CE31BE"/>
    <w:rsid w:val="45BE1E11"/>
    <w:rsid w:val="45EA0429"/>
    <w:rsid w:val="46FB0382"/>
    <w:rsid w:val="47EB6865"/>
    <w:rsid w:val="4C2C6594"/>
    <w:rsid w:val="50277BC9"/>
    <w:rsid w:val="50D15CF8"/>
    <w:rsid w:val="51066F16"/>
    <w:rsid w:val="51340035"/>
    <w:rsid w:val="51AE40DC"/>
    <w:rsid w:val="53455021"/>
    <w:rsid w:val="56B93C5A"/>
    <w:rsid w:val="578E0FAB"/>
    <w:rsid w:val="57B530FE"/>
    <w:rsid w:val="58BA1F78"/>
    <w:rsid w:val="5AAD383C"/>
    <w:rsid w:val="5DD8138D"/>
    <w:rsid w:val="5DEF0CB7"/>
    <w:rsid w:val="5EBF7E2B"/>
    <w:rsid w:val="5EF76731"/>
    <w:rsid w:val="611E7ED2"/>
    <w:rsid w:val="62892A63"/>
    <w:rsid w:val="659F01D8"/>
    <w:rsid w:val="66350708"/>
    <w:rsid w:val="68871E97"/>
    <w:rsid w:val="68B977C1"/>
    <w:rsid w:val="69E4351C"/>
    <w:rsid w:val="6A4F2F1A"/>
    <w:rsid w:val="6B625A72"/>
    <w:rsid w:val="6B8A20A2"/>
    <w:rsid w:val="6BB8153D"/>
    <w:rsid w:val="6C320399"/>
    <w:rsid w:val="6C755241"/>
    <w:rsid w:val="6CDF1345"/>
    <w:rsid w:val="6D50327E"/>
    <w:rsid w:val="6F514ADE"/>
    <w:rsid w:val="6F833AC6"/>
    <w:rsid w:val="6FA74BB9"/>
    <w:rsid w:val="708945D8"/>
    <w:rsid w:val="713951B9"/>
    <w:rsid w:val="71593422"/>
    <w:rsid w:val="72B059E8"/>
    <w:rsid w:val="732C647B"/>
    <w:rsid w:val="7A1B6C1E"/>
    <w:rsid w:val="7A351B2A"/>
    <w:rsid w:val="7AB7598A"/>
    <w:rsid w:val="7C3F13C0"/>
    <w:rsid w:val="7C754515"/>
    <w:rsid w:val="7D2B7F89"/>
    <w:rsid w:val="7D8D4B15"/>
    <w:rsid w:val="7DF04FBE"/>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6"/>
    <w:qFormat/>
    <w:uiPriority w:val="0"/>
    <w:pPr>
      <w:jc w:val="left"/>
    </w:pPr>
    <w:rPr>
      <w:rFonts w:ascii="Times New Roman" w:hAnsi="Times New Roman"/>
    </w:rPr>
  </w:style>
  <w:style w:type="paragraph" w:styleId="7">
    <w:name w:val="Body Text"/>
    <w:basedOn w:val="1"/>
    <w:link w:val="49"/>
    <w:qFormat/>
    <w:uiPriority w:val="0"/>
    <w:pPr>
      <w:spacing w:after="120"/>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6"/>
    <w:next w:val="6"/>
    <w:link w:val="61"/>
    <w:qFormat/>
    <w:uiPriority w:val="0"/>
    <w:rPr>
      <w:b/>
      <w:bCs/>
    </w:r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2"/>
    <w:qFormat/>
    <w:uiPriority w:val="0"/>
    <w:rPr>
      <w:rFonts w:ascii="Calibri" w:hAnsi="Calibri"/>
      <w:b/>
      <w:bCs/>
      <w:kern w:val="44"/>
      <w:sz w:val="44"/>
      <w:szCs w:val="44"/>
    </w:rPr>
  </w:style>
  <w:style w:type="character" w:customStyle="1" w:styleId="29">
    <w:name w:val="标题 2 Char"/>
    <w:basedOn w:val="22"/>
    <w:link w:val="3"/>
    <w:qFormat/>
    <w:uiPriority w:val="0"/>
    <w:rPr>
      <w:rFonts w:ascii="Arial" w:hAnsi="Arial" w:eastAsia="黑体"/>
      <w:b/>
      <w:bCs/>
      <w:sz w:val="32"/>
      <w:szCs w:val="32"/>
    </w:rPr>
  </w:style>
  <w:style w:type="character" w:customStyle="1" w:styleId="30">
    <w:name w:val="标题 3 Char"/>
    <w:basedOn w:val="22"/>
    <w:link w:val="4"/>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7"/>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6"/>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7"/>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6"/>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8420</Words>
  <Characters>8862</Characters>
  <Lines>102</Lines>
  <Paragraphs>28</Paragraphs>
  <TotalTime>1</TotalTime>
  <ScaleCrop>false</ScaleCrop>
  <LinksUpToDate>false</LinksUpToDate>
  <CharactersWithSpaces>10428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2022-07-26T08:11:43Z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8026C8D484864B3FA4AC9BEA92910577</vt:lpwstr>
  </property>
</Properties>
</file>