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纯水机、纯水机升级</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纯水机、纯水机升级，</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三台县人民医院纯水机、纯水机升级</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607"/>
        <w:gridCol w:w="816"/>
        <w:gridCol w:w="886"/>
        <w:gridCol w:w="201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49"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6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9"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纯水机</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w:t>
            </w:r>
          </w:p>
        </w:tc>
        <w:tc>
          <w:tcPr>
            <w:tcW w:w="64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9" w:type="pct"/>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纯水机升级</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w:t>
            </w:r>
          </w:p>
        </w:tc>
        <w:tc>
          <w:tcPr>
            <w:tcW w:w="641"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22</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25</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，邮件封面注明包号和设备名称。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25</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18</w:t>
      </w:r>
      <w:bookmarkStart w:id="63" w:name="_GoBack"/>
      <w:bookmarkEnd w:id="63"/>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纯水机、纯水机升级</w:t>
      </w:r>
      <w:r>
        <w:rPr>
          <w:rFonts w:hint="eastAsia" w:ascii="Times New Roman" w:hAnsi="Times New Roman"/>
          <w:color w:val="auto"/>
          <w:sz w:val="32"/>
          <w:szCs w:val="32"/>
          <w:lang w:eastAsia="zh-CN"/>
        </w:rPr>
        <w:t>采购的比选文件</w:t>
      </w:r>
    </w:p>
    <w:p>
      <w:pPr>
        <w:pStyle w:val="3"/>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纯水机、纯水机升级，</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三台县人民医院纯水机、纯水机升级</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2609"/>
        <w:gridCol w:w="814"/>
        <w:gridCol w:w="886"/>
        <w:gridCol w:w="201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48"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szCs w:val="24"/>
              </w:rPr>
            </w:pPr>
            <w:r>
              <w:rPr>
                <w:rFonts w:hint="eastAsia" w:ascii="Times New Roman" w:hAnsi="Times New Roman"/>
                <w:b/>
                <w:color w:val="auto"/>
                <w:sz w:val="24"/>
                <w:szCs w:val="24"/>
              </w:rPr>
              <w:t>包号</w:t>
            </w:r>
          </w:p>
        </w:tc>
        <w:tc>
          <w:tcPr>
            <w:tcW w:w="157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6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8"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0</w:t>
            </w:r>
            <w:r>
              <w:rPr>
                <w:rFonts w:ascii="Times New Roman" w:hAnsi="Times New Roman"/>
                <w:color w:val="auto"/>
                <w:sz w:val="24"/>
                <w:szCs w:val="24"/>
              </w:rPr>
              <w:t>1</w:t>
            </w:r>
          </w:p>
        </w:tc>
        <w:tc>
          <w:tcPr>
            <w:tcW w:w="1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纯水机</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w:t>
            </w:r>
          </w:p>
        </w:tc>
        <w:tc>
          <w:tcPr>
            <w:tcW w:w="643"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48" w:type="pct"/>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color w:val="000000"/>
                <w:sz w:val="24"/>
                <w:szCs w:val="24"/>
                <w:lang w:eastAsia="zh-CN"/>
              </w:rPr>
              <w:t>纯水机升级</w:t>
            </w:r>
          </w:p>
        </w:tc>
        <w:tc>
          <w:tcPr>
            <w:tcW w:w="4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121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w:t>
            </w:r>
          </w:p>
        </w:tc>
        <w:tc>
          <w:tcPr>
            <w:tcW w:w="643"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spacing w:line="440" w:lineRule="exact"/>
        <w:rPr>
          <w:rFonts w:hint="eastAsia" w:ascii="Times New Roman" w:hAnsi="Times New Roman"/>
          <w:kern w:val="0"/>
          <w:sz w:val="24"/>
          <w:szCs w:val="24"/>
          <w:lang w:val="zh-CN"/>
        </w:rPr>
      </w:pPr>
      <w:r>
        <w:rPr>
          <w:rFonts w:hint="eastAsia" w:ascii="Times New Roman" w:hAnsi="Times New Roman"/>
          <w:kern w:val="0"/>
          <w:sz w:val="24"/>
          <w:szCs w:val="24"/>
          <w:lang w:val="zh-CN"/>
        </w:rPr>
        <w:t>9、提供产品的医疗器械产品注册证或备案凭证（非医疗器械产品除外）。</w:t>
      </w:r>
    </w:p>
    <w:p>
      <w:pPr>
        <w:spacing w:line="440" w:lineRule="exact"/>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10、为保证纯水机升级项目的质量安全与合法性，需提供原</w:t>
      </w:r>
      <w:r>
        <w:rPr>
          <w:rFonts w:hint="eastAsia" w:ascii="Times New Roman" w:hAnsi="Times New Roman"/>
          <w:kern w:val="0"/>
          <w:sz w:val="24"/>
          <w:szCs w:val="24"/>
          <w:lang w:val="zh-CN" w:eastAsia="zh-CN"/>
        </w:rPr>
        <w:t>纯水机</w:t>
      </w:r>
      <w:r>
        <w:rPr>
          <w:rFonts w:hint="eastAsia" w:ascii="Times New Roman" w:hAnsi="Times New Roman"/>
          <w:kern w:val="0"/>
          <w:sz w:val="24"/>
          <w:szCs w:val="24"/>
          <w:lang w:val="en-US" w:eastAsia="zh-CN"/>
        </w:rPr>
        <w:t>生产厂家授权。</w:t>
      </w:r>
    </w:p>
    <w:p>
      <w:pPr>
        <w:autoSpaceDE w:val="0"/>
        <w:autoSpaceDN w:val="0"/>
        <w:adjustRightInd w:val="0"/>
        <w:spacing w:line="360" w:lineRule="auto"/>
        <w:ind w:left="361" w:hanging="361" w:hangingChars="150"/>
        <w:contextualSpacing/>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spacing w:line="440" w:lineRule="exact"/>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spacing w:line="440" w:lineRule="exact"/>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spacing w:line="440" w:lineRule="exact"/>
        <w:rPr>
          <w:rFonts w:hint="eastAsia" w:ascii="Times New Roman" w:hAnsi="Times New Roman"/>
          <w:kern w:val="0"/>
          <w:sz w:val="24"/>
          <w:szCs w:val="24"/>
          <w:lang w:val="zh-CN"/>
        </w:rPr>
      </w:pPr>
      <w:r>
        <w:rPr>
          <w:rFonts w:hint="eastAsia" w:ascii="Times New Roman" w:hAnsi="Times New Roman"/>
          <w:kern w:val="0"/>
          <w:sz w:val="24"/>
          <w:szCs w:val="24"/>
          <w:lang w:val="en-US" w:eastAsia="zh-CN"/>
        </w:rPr>
        <w:t>10、为保证纯水机升级项目的质量安全与合法性，需提供原</w:t>
      </w:r>
      <w:r>
        <w:rPr>
          <w:rFonts w:hint="eastAsia" w:ascii="Times New Roman" w:hAnsi="Times New Roman"/>
          <w:kern w:val="0"/>
          <w:sz w:val="24"/>
          <w:szCs w:val="24"/>
          <w:lang w:val="zh-CN" w:eastAsia="zh-CN"/>
        </w:rPr>
        <w:t>纯水机</w:t>
      </w:r>
      <w:r>
        <w:rPr>
          <w:rFonts w:hint="eastAsia" w:ascii="Times New Roman" w:hAnsi="Times New Roman"/>
          <w:kern w:val="0"/>
          <w:sz w:val="24"/>
          <w:szCs w:val="24"/>
          <w:lang w:val="en-US" w:eastAsia="zh-CN"/>
        </w:rPr>
        <w:t>生产厂家授权。</w:t>
      </w:r>
    </w:p>
    <w:p>
      <w:pPr>
        <w:spacing w:line="440" w:lineRule="exact"/>
        <w:rPr>
          <w:rFonts w:hint="eastAsia" w:ascii="Times New Roman" w:hAnsi="Times New Roman" w:eastAsia="宋体"/>
          <w:kern w:val="0"/>
          <w:sz w:val="24"/>
          <w:szCs w:val="24"/>
          <w:lang w:val="en-US" w:eastAsia="zh-CN"/>
        </w:rPr>
      </w:pP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22</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spacing w:line="440" w:lineRule="exact"/>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spacing w:line="440" w:lineRule="exact"/>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spacing w:line="440" w:lineRule="exact"/>
        <w:jc w:val="both"/>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，邮件封面注明包号和设备名称。</w:t>
      </w:r>
    </w:p>
    <w:p>
      <w:pPr>
        <w:keepNext w:val="0"/>
        <w:keepLines w:val="0"/>
        <w:pageBreakBefore w:val="0"/>
        <w:widowControl/>
        <w:numPr>
          <w:ilvl w:val="0"/>
          <w:numId w:val="0"/>
        </w:numPr>
        <w:kinsoku/>
        <w:wordWrap/>
        <w:overflowPunct/>
        <w:topLinePunct w:val="0"/>
        <w:bidi w:val="0"/>
        <w:snapToGrid/>
        <w:spacing w:line="240" w:lineRule="auto"/>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spacing w:line="440" w:lineRule="exact"/>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spacing w:line="440" w:lineRule="exact"/>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25</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6</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spacing w:line="440" w:lineRule="exact"/>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spacing w:line="440" w:lineRule="exact"/>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spacing w:line="440" w:lineRule="exact"/>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tabs>
          <w:tab w:val="left" w:pos="2310"/>
        </w:tabs>
        <w:spacing w:line="360" w:lineRule="auto"/>
        <w:ind w:left="560" w:right="420" w:rightChars="200"/>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ind w:left="560" w:firstLine="0" w:firstLineChars="0"/>
        <w:contextualSpacing/>
        <w:rPr>
          <w:sz w:val="24"/>
          <w:szCs w:val="24"/>
        </w:rPr>
      </w:pPr>
      <w:r>
        <w:rPr>
          <w:sz w:val="24"/>
          <w:szCs w:val="24"/>
        </w:rPr>
        <w:t>地  址：</w:t>
      </w:r>
      <w:r>
        <w:rPr>
          <w:rFonts w:hint="eastAsia"/>
          <w:sz w:val="24"/>
          <w:szCs w:val="24"/>
        </w:rPr>
        <w:t>三台县潼川镇解放下街139号</w:t>
      </w:r>
    </w:p>
    <w:p>
      <w:pPr>
        <w:pStyle w:val="43"/>
        <w:ind w:left="560" w:firstLine="0" w:firstLineChars="0"/>
        <w:contextualSpacing/>
        <w:rPr>
          <w:sz w:val="24"/>
          <w:szCs w:val="24"/>
        </w:rPr>
      </w:pPr>
      <w:r>
        <w:rPr>
          <w:sz w:val="24"/>
          <w:szCs w:val="24"/>
        </w:rPr>
        <w:t>联系人：</w:t>
      </w:r>
      <w:r>
        <w:rPr>
          <w:rFonts w:hint="eastAsia"/>
          <w:sz w:val="24"/>
          <w:szCs w:val="24"/>
        </w:rPr>
        <w:t>张老师</w:t>
      </w:r>
    </w:p>
    <w:p>
      <w:pPr>
        <w:pStyle w:val="43"/>
        <w:ind w:left="560" w:firstLine="0" w:firstLineChars="0"/>
        <w:contextualSpacing/>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jc w:val="left"/>
        <w:rPr>
          <w:rFonts w:hint="eastAsia" w:ascii="宋体" w:hAnsi="宋体" w:eastAsia="宋体" w:cs="宋体"/>
          <w:b/>
          <w:bCs/>
          <w:color w:val="auto"/>
          <w:kern w:val="2"/>
          <w:sz w:val="24"/>
          <w:szCs w:val="24"/>
          <w:lang w:val="en-US" w:eastAsia="zh-CN" w:bidi="ar-SA"/>
        </w:rPr>
      </w:pPr>
    </w:p>
    <w:p>
      <w:pPr>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一）</w:t>
      </w:r>
      <w:r>
        <w:rPr>
          <w:rFonts w:hint="eastAsia" w:ascii="宋体" w:hAnsi="宋体" w:eastAsia="宋体" w:cs="宋体"/>
          <w:b/>
          <w:bCs/>
          <w:color w:val="auto"/>
          <w:kern w:val="2"/>
          <w:sz w:val="24"/>
          <w:szCs w:val="24"/>
          <w:lang w:val="en-US" w:eastAsia="zh-CN" w:bidi="ar-SA"/>
        </w:rPr>
        <w:t xml:space="preserve"> </w:t>
      </w:r>
      <w:bookmarkStart w:id="7" w:name="_Toc31834"/>
      <w:r>
        <w:rPr>
          <w:rFonts w:hint="eastAsia" w:ascii="宋体" w:hAnsi="宋体" w:eastAsia="宋体" w:cs="宋体"/>
          <w:b/>
          <w:bCs/>
          <w:color w:val="auto"/>
          <w:kern w:val="2"/>
          <w:sz w:val="24"/>
          <w:szCs w:val="24"/>
          <w:lang w:val="en-US" w:eastAsia="zh-CN" w:bidi="ar-SA"/>
        </w:rPr>
        <w:t>纯水机技术参数</w:t>
      </w:r>
      <w:bookmarkEnd w:id="7"/>
      <w:r>
        <w:rPr>
          <w:rFonts w:hint="eastAsia" w:ascii="宋体" w:hAnsi="宋体" w:cs="宋体"/>
          <w:b/>
          <w:bCs/>
          <w:color w:val="auto"/>
          <w:kern w:val="2"/>
          <w:sz w:val="24"/>
          <w:szCs w:val="24"/>
          <w:lang w:val="en-US" w:eastAsia="zh-CN" w:bidi="ar-SA"/>
        </w:rPr>
        <w:t>（用于口腔科）</w:t>
      </w:r>
    </w:p>
    <w:p>
      <w:pPr>
        <w:pStyle w:val="2"/>
        <w:rPr>
          <w:rFonts w:hint="eastAsia" w:ascii="宋体" w:hAnsi="宋体" w:eastAsia="宋体" w:cs="宋体"/>
          <w:sz w:val="24"/>
          <w:szCs w:val="24"/>
        </w:rPr>
      </w:pPr>
      <w:bookmarkStart w:id="8" w:name="_Toc437419267"/>
      <w:bookmarkStart w:id="9" w:name="_Toc5317"/>
    </w:p>
    <w:p>
      <w:pPr>
        <w:pStyle w:val="2"/>
        <w:rPr>
          <w:rFonts w:hint="eastAsia" w:ascii="宋体" w:hAnsi="宋体" w:eastAsia="宋体" w:cs="宋体"/>
          <w:sz w:val="24"/>
          <w:szCs w:val="24"/>
        </w:rPr>
      </w:pPr>
      <w:r>
        <w:rPr>
          <w:rFonts w:hint="eastAsia" w:ascii="宋体" w:hAnsi="宋体" w:eastAsia="宋体" w:cs="宋体"/>
          <w:sz w:val="24"/>
          <w:szCs w:val="24"/>
        </w:rPr>
        <w:t>1、彩色触摸屏、尺寸≥7英寸；全自动一键式操作，数据内部储存、故障查询、故障解除；定时、延时开关机等功能</w:t>
      </w:r>
    </w:p>
    <w:p>
      <w:pPr>
        <w:pStyle w:val="2"/>
        <w:rPr>
          <w:rFonts w:hint="eastAsia" w:ascii="宋体" w:hAnsi="宋体" w:eastAsia="宋体" w:cs="宋体"/>
          <w:sz w:val="24"/>
          <w:szCs w:val="24"/>
        </w:rPr>
      </w:pPr>
      <w:r>
        <w:rPr>
          <w:rFonts w:hint="eastAsia" w:ascii="宋体" w:hAnsi="宋体" w:eastAsia="宋体" w:cs="宋体"/>
          <w:sz w:val="24"/>
          <w:szCs w:val="24"/>
        </w:rPr>
        <w:t>2、设备具有手、自动控制功能</w:t>
      </w:r>
      <w:bookmarkEnd w:id="8"/>
      <w:bookmarkEnd w:id="9"/>
    </w:p>
    <w:p>
      <w:pPr>
        <w:rPr>
          <w:rFonts w:hint="eastAsia" w:ascii="宋体" w:hAnsi="宋体" w:eastAsia="宋体" w:cs="宋体"/>
          <w:sz w:val="24"/>
          <w:szCs w:val="24"/>
        </w:rPr>
      </w:pPr>
      <w:bookmarkStart w:id="10" w:name="_Toc13808"/>
      <w:r>
        <w:rPr>
          <w:rFonts w:hint="eastAsia" w:ascii="宋体" w:hAnsi="宋体" w:eastAsia="宋体" w:cs="宋体"/>
          <w:sz w:val="24"/>
          <w:szCs w:val="24"/>
        </w:rPr>
        <w:t>▲3、设备采用变频直供，满足口腔科无菌水用水流量及压力要求</w:t>
      </w:r>
      <w:bookmarkEnd w:id="10"/>
      <w:r>
        <w:rPr>
          <w:rFonts w:hint="eastAsia" w:ascii="宋体" w:hAnsi="宋体" w:eastAsia="宋体" w:cs="宋体"/>
          <w:sz w:val="24"/>
          <w:szCs w:val="24"/>
        </w:rPr>
        <w:t>，纯水产量≥1800升/小时</w:t>
      </w:r>
    </w:p>
    <w:p>
      <w:pPr>
        <w:pStyle w:val="2"/>
        <w:rPr>
          <w:rFonts w:hint="eastAsia" w:ascii="宋体" w:hAnsi="宋体" w:eastAsia="宋体" w:cs="宋体"/>
          <w:sz w:val="24"/>
          <w:szCs w:val="24"/>
        </w:rPr>
      </w:pPr>
      <w:r>
        <w:rPr>
          <w:rFonts w:hint="eastAsia" w:ascii="宋体" w:hAnsi="宋体" w:eastAsia="宋体" w:cs="宋体"/>
          <w:sz w:val="24"/>
          <w:szCs w:val="24"/>
        </w:rPr>
        <w:t>▲4、水质要求：至少满足《软式内镜清洗消毒技术规范WS 507-2016 》、《口腔器械消毒灭菌及牙科手机的冷却用无菌水WS 506-2016》要求，电导率≤15us/cm25℃，细菌菌落总数≤10 cfu/100mL</w:t>
      </w:r>
    </w:p>
    <w:p>
      <w:pPr>
        <w:pStyle w:val="2"/>
        <w:rPr>
          <w:rFonts w:hint="eastAsia" w:ascii="宋体" w:hAnsi="宋体" w:eastAsia="宋体" w:cs="宋体"/>
          <w:sz w:val="24"/>
          <w:szCs w:val="24"/>
        </w:rPr>
      </w:pPr>
      <w:bookmarkStart w:id="11" w:name="_Toc7544"/>
      <w:r>
        <w:rPr>
          <w:rFonts w:hint="eastAsia" w:ascii="宋体" w:hAnsi="宋体" w:cs="宋体"/>
          <w:sz w:val="24"/>
          <w:szCs w:val="24"/>
          <w:lang w:val="en-US" w:eastAsia="zh-CN"/>
        </w:rPr>
        <w:t>5</w:t>
      </w:r>
      <w:r>
        <w:rPr>
          <w:rFonts w:hint="eastAsia" w:ascii="宋体" w:hAnsi="宋体" w:eastAsia="宋体" w:cs="宋体"/>
          <w:sz w:val="24"/>
          <w:szCs w:val="24"/>
        </w:rPr>
        <w:t>、设备具有夜间循环冲洗灭菌功能</w:t>
      </w:r>
      <w:bookmarkEnd w:id="11"/>
    </w:p>
    <w:p>
      <w:pPr>
        <w:pStyle w:val="2"/>
        <w:ind w:left="210" w:hanging="240" w:hangingChars="100"/>
        <w:rPr>
          <w:rFonts w:hint="eastAsia" w:ascii="宋体" w:hAnsi="宋体" w:eastAsia="宋体" w:cs="宋体"/>
          <w:sz w:val="24"/>
          <w:szCs w:val="24"/>
        </w:rPr>
      </w:pPr>
      <w:bookmarkStart w:id="12" w:name="_Toc31737"/>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、设备具有一键式全自动消毒功能，自动配比，自动投加消毒液；自动循环冲洗消毒功能</w:t>
      </w:r>
      <w:bookmarkEnd w:id="12"/>
    </w:p>
    <w:p>
      <w:pPr>
        <w:pStyle w:val="2"/>
        <w:ind w:left="210" w:hanging="240" w:hangingChars="100"/>
        <w:rPr>
          <w:rFonts w:hint="eastAsia" w:ascii="宋体" w:hAnsi="宋体" w:eastAsia="宋体" w:cs="宋体"/>
          <w:sz w:val="24"/>
          <w:szCs w:val="24"/>
        </w:rPr>
      </w:pPr>
      <w:bookmarkStart w:id="13" w:name="_Toc17393"/>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、设备具有远程监控及操作功能（终身免费）</w:t>
      </w:r>
    </w:p>
    <w:p>
      <w:pPr>
        <w:pStyle w:val="2"/>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、设备具有耗材更换自动提醒功能</w:t>
      </w:r>
      <w:bookmarkEnd w:id="13"/>
      <w:bookmarkStart w:id="14" w:name="_Toc21801"/>
    </w:p>
    <w:p>
      <w:pPr>
        <w:pStyle w:val="2"/>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、设备可在线显示工艺流、运行状态、报警提示、历史记录，电导率等</w:t>
      </w:r>
      <w:bookmarkEnd w:id="14"/>
    </w:p>
    <w:p>
      <w:pPr>
        <w:pStyle w:val="2"/>
        <w:rPr>
          <w:rFonts w:hint="eastAsia" w:ascii="宋体" w:hAnsi="宋体" w:eastAsia="宋体" w:cs="宋体"/>
          <w:sz w:val="24"/>
          <w:szCs w:val="24"/>
        </w:rPr>
      </w:pPr>
      <w:bookmarkStart w:id="15" w:name="_Toc25353"/>
      <w:r>
        <w:rPr>
          <w:rFonts w:hint="eastAsia" w:ascii="宋体" w:hAnsi="宋体" w:cs="宋体"/>
          <w:sz w:val="24"/>
          <w:szCs w:val="24"/>
          <w:lang w:val="en-US" w:eastAsia="zh-CN"/>
        </w:rPr>
        <w:t>10</w:t>
      </w:r>
      <w:r>
        <w:rPr>
          <w:rFonts w:hint="eastAsia" w:ascii="宋体" w:hAnsi="宋体" w:eastAsia="宋体" w:cs="宋体"/>
          <w:sz w:val="24"/>
          <w:szCs w:val="24"/>
        </w:rPr>
        <w:t>、系统参数可调、具有三级密码保护功能</w:t>
      </w:r>
      <w:bookmarkEnd w:id="15"/>
      <w:bookmarkStart w:id="16" w:name="_Toc437419270"/>
    </w:p>
    <w:p>
      <w:pPr>
        <w:pStyle w:val="2"/>
        <w:rPr>
          <w:rFonts w:hint="eastAsia" w:ascii="宋体" w:hAnsi="宋体" w:eastAsia="宋体" w:cs="宋体"/>
          <w:sz w:val="24"/>
          <w:szCs w:val="24"/>
        </w:rPr>
      </w:pPr>
      <w:bookmarkStart w:id="17" w:name="_Toc1343"/>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、具有电力故障硬件诊断及保护功能</w:t>
      </w:r>
      <w:bookmarkEnd w:id="16"/>
      <w:bookmarkEnd w:id="17"/>
    </w:p>
    <w:p>
      <w:pPr>
        <w:pStyle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2</w:t>
      </w:r>
      <w:r>
        <w:rPr>
          <w:rFonts w:hint="eastAsia" w:ascii="宋体" w:hAnsi="宋体" w:eastAsia="宋体" w:cs="宋体"/>
          <w:sz w:val="24"/>
          <w:szCs w:val="24"/>
        </w:rPr>
        <w:t>、管道：纯水机至牙科综合治疗椅所有管道（UPVC）及材料必须满足医用无菌水要求且包安装</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、整机质量符合GB/T 19249-2017标准（提供省级产品质量监督检验检测院报告）</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sz w:val="24"/>
          <w:szCs w:val="24"/>
          <w:lang w:eastAsia="zh-CN"/>
        </w:rPr>
      </w:pPr>
      <w:r>
        <w:rPr>
          <w:rFonts w:hint="eastAsia" w:ascii="宋体" w:hAnsi="宋体" w:cs="宋体"/>
          <w:b/>
          <w:bCs/>
          <w:color w:val="auto"/>
          <w:kern w:val="2"/>
          <w:sz w:val="24"/>
          <w:szCs w:val="24"/>
          <w:lang w:val="en-US" w:eastAsia="zh-CN" w:bidi="ar-SA"/>
        </w:rPr>
        <w:t>二）</w:t>
      </w: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sz w:val="24"/>
          <w:szCs w:val="24"/>
        </w:rPr>
        <w:t>纯水机升级改造技术需求</w:t>
      </w:r>
      <w:r>
        <w:rPr>
          <w:rFonts w:hint="eastAsia" w:ascii="宋体" w:hAnsi="宋体" w:cs="宋体"/>
          <w:b/>
          <w:sz w:val="24"/>
          <w:szCs w:val="24"/>
          <w:lang w:eastAsia="zh-CN"/>
        </w:rPr>
        <w:t>（消化内科）</w:t>
      </w:r>
    </w:p>
    <w:p>
      <w:pPr>
        <w:pStyle w:val="2"/>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升级改造后设备应具有彩色触摸屏、尺寸≥7英寸；全自动一键式操作，数据内部储存、故障查询、故障解除；定时、延时开关机等功能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2、升级改造后设备应具有手、自动控制功能。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▲3、升级改造后设备应具有变频直供功能，满足内镜清洗无菌水用水流量及压力要求，纯水产量≥3600升/小时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▲4、水质要求：至少满足《软式内镜清洗消毒技术规范WS 507-2016 》，电导率≤15us/cm25℃，细菌菌落总数≤10 cfu/100mL</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、升级改造后设备应具有夜间循环冲洗灭菌功能、循环时间可调。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、升级改造后设备应具有一键式全自动消毒功能；自动配比、自动投加消毒液、自动循环冲洗消毒功能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7</w:t>
      </w:r>
      <w:r>
        <w:rPr>
          <w:rFonts w:hint="eastAsia" w:ascii="宋体" w:hAnsi="宋体" w:eastAsia="宋体" w:cs="宋体"/>
          <w:sz w:val="24"/>
          <w:szCs w:val="24"/>
        </w:rPr>
        <w:t>、升级改造后控制系统与原机配套，实现远程监控及（授权）操作功能（终身免费升级免费使用）。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、升级改造后应具有耗材更换自动提醒功能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、升级改造后可在线显示工艺流、运行状态、报警提示、历史记录，电导率等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10</w:t>
      </w:r>
      <w:r>
        <w:rPr>
          <w:rFonts w:hint="eastAsia" w:ascii="宋体" w:hAnsi="宋体" w:eastAsia="宋体" w:cs="宋体"/>
          <w:sz w:val="24"/>
          <w:szCs w:val="24"/>
        </w:rPr>
        <w:t>、升级改造后系统参数可调、具有三级密码保护功能</w:t>
      </w:r>
      <w:r>
        <w:rPr>
          <w:rFonts w:hint="eastAsia" w:ascii="宋体" w:hAnsi="宋体" w:cs="宋体"/>
          <w:sz w:val="24"/>
          <w:szCs w:val="24"/>
          <w:lang w:eastAsia="zh-CN"/>
        </w:rPr>
        <w:t>，且</w:t>
      </w:r>
      <w:r>
        <w:rPr>
          <w:rFonts w:hint="eastAsia" w:ascii="宋体" w:hAnsi="宋体" w:eastAsia="宋体" w:cs="宋体"/>
          <w:sz w:val="24"/>
          <w:szCs w:val="24"/>
        </w:rPr>
        <w:t>具有电力故障硬件诊断及保护功能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、管道：纯水机所有管道（UPVC）及材料必须满足医用无菌水要求且包安装。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2.1质保期：电气控制部分≥5年，其它≥1年。</w:t>
      </w:r>
      <w:bookmarkStart w:id="18" w:name="_Toc52036325"/>
      <w:bookmarkStart w:id="19"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hint="eastAsia" w:ascii="Times New Roman" w:hAnsi="Times New Roman"/>
          <w:b/>
          <w:bCs/>
          <w:kern w:val="0"/>
          <w:sz w:val="32"/>
          <w:szCs w:val="32"/>
        </w:rPr>
      </w:pPr>
      <w:bookmarkStart w:id="20"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color w:val="FF0000"/>
          <w:kern w:val="0"/>
          <w:sz w:val="24"/>
          <w:szCs w:val="20"/>
        </w:rPr>
      </w:pPr>
      <w:r>
        <w:rPr>
          <w:rFonts w:hint="eastAsia" w:ascii="Times New Roman" w:hAnsi="Times New Roman"/>
          <w:b/>
          <w:bCs/>
          <w:color w:val="000000" w:themeColor="text1"/>
          <w:kern w:val="0"/>
          <w:sz w:val="32"/>
          <w:szCs w:val="32"/>
          <w14:textFill>
            <w14:solidFill>
              <w14:schemeClr w14:val="tx1"/>
            </w14:solidFill>
          </w14:textFill>
        </w:rPr>
        <w:t>第</w:t>
      </w:r>
      <w:r>
        <w:rPr>
          <w:rFonts w:hint="eastAsia" w:ascii="Times New Roman" w:hAnsi="Times New Roman"/>
          <w:b/>
          <w:bCs/>
          <w:color w:val="000000" w:themeColor="text1"/>
          <w:kern w:val="0"/>
          <w:sz w:val="32"/>
          <w:szCs w:val="32"/>
          <w:lang w:eastAsia="zh-CN"/>
          <w14:textFill>
            <w14:solidFill>
              <w14:schemeClr w14:val="tx1"/>
            </w14:solidFill>
          </w14:textFill>
        </w:rPr>
        <w:t>三</w:t>
      </w:r>
      <w:r>
        <w:rPr>
          <w:rFonts w:hint="eastAsia" w:ascii="Times New Roman" w:hAnsi="Times New Roman"/>
          <w:b/>
          <w:bCs/>
          <w:color w:val="000000" w:themeColor="text1"/>
          <w:kern w:val="0"/>
          <w:sz w:val="32"/>
          <w:szCs w:val="32"/>
          <w14:textFill>
            <w14:solidFill>
              <w14:schemeClr w14:val="tx1"/>
            </w14:solidFill>
          </w14:textFill>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hint="eastAsia" w:ascii="Times New Roman" w:hAnsi="Times New Roman"/>
          <w:b/>
          <w:bCs/>
          <w:kern w:val="0"/>
          <w:sz w:val="24"/>
          <w:szCs w:val="20"/>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01包</w:t>
      </w: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20"/>
    </w:p>
    <w:p>
      <w:pPr>
        <w:pStyle w:val="2"/>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5</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kern w:val="0"/>
          <w:sz w:val="24"/>
          <w:szCs w:val="20"/>
          <w:lang w:eastAsia="zh-CN"/>
        </w:rPr>
      </w:pPr>
    </w:p>
    <w:p>
      <w:pPr>
        <w:pStyle w:val="3"/>
        <w:keepNext/>
        <w:keepLines/>
        <w:pageBreakBefore w:val="0"/>
        <w:widowControl w:val="0"/>
        <w:numPr>
          <w:ilvl w:val="0"/>
          <w:numId w:val="2"/>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18"/>
      <w:bookmarkEnd w:id="19"/>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（一式两份，一正一副，封面注明包号和设备名称，报价为一次性报价。）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21" w:name="_Toc40447267"/>
      <w:bookmarkStart w:id="22" w:name="_Toc33698132"/>
      <w:bookmarkStart w:id="23" w:name="_Toc34051805"/>
      <w:bookmarkStart w:id="24" w:name="_Toc33709793"/>
      <w:bookmarkStart w:id="25" w:name="_Toc52036326"/>
      <w:r>
        <w:rPr>
          <w:rFonts w:ascii="Times New Roman" w:hAnsi="Times New Roman" w:eastAsia="黑体"/>
          <w:b/>
          <w:kern w:val="0"/>
          <w:sz w:val="32"/>
          <w:szCs w:val="32"/>
        </w:rPr>
        <w:t>一、封面</w:t>
      </w:r>
      <w:bookmarkEnd w:id="21"/>
      <w:bookmarkEnd w:id="22"/>
      <w:bookmarkEnd w:id="23"/>
      <w:bookmarkEnd w:id="24"/>
      <w:bookmarkEnd w:id="25"/>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26" w:name="_Toc52036327"/>
      <w:bookmarkStart w:id="27" w:name="_Toc33709794"/>
      <w:bookmarkStart w:id="28" w:name="_Toc40447268"/>
      <w:bookmarkStart w:id="29" w:name="_Toc33698133"/>
      <w:bookmarkStart w:id="30" w:name="_Toc34051806"/>
      <w:r>
        <w:rPr>
          <w:rFonts w:ascii="Times New Roman" w:hAnsi="Times New Roman" w:eastAsia="黑体"/>
          <w:b/>
          <w:kern w:val="0"/>
          <w:sz w:val="32"/>
          <w:szCs w:val="32"/>
        </w:rPr>
        <w:t>二、法定代表人/单位负责人授权书</w:t>
      </w:r>
      <w:bookmarkEnd w:id="26"/>
      <w:bookmarkEnd w:id="27"/>
      <w:bookmarkEnd w:id="28"/>
      <w:bookmarkEnd w:id="29"/>
      <w:bookmarkEnd w:id="30"/>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31" w:name="_Toc34051807"/>
      <w:bookmarkStart w:id="32" w:name="_Toc33709795"/>
      <w:bookmarkStart w:id="33" w:name="_Toc52036328"/>
      <w:bookmarkStart w:id="34" w:name="_Toc33698134"/>
      <w:bookmarkStart w:id="35" w:name="_Toc40447269"/>
      <w:r>
        <w:rPr>
          <w:rFonts w:ascii="Times New Roman" w:hAnsi="Times New Roman" w:eastAsia="黑体"/>
          <w:b/>
          <w:kern w:val="0"/>
          <w:sz w:val="32"/>
          <w:szCs w:val="32"/>
        </w:rPr>
        <w:t>三、承诺函</w:t>
      </w:r>
      <w:bookmarkEnd w:id="31"/>
      <w:bookmarkEnd w:id="32"/>
      <w:bookmarkEnd w:id="33"/>
      <w:bookmarkEnd w:id="34"/>
      <w:bookmarkEnd w:id="35"/>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36" w:name="_Toc52036329"/>
      <w:bookmarkStart w:id="37" w:name="_Toc33709796"/>
      <w:bookmarkStart w:id="38" w:name="_Toc40447270"/>
      <w:bookmarkStart w:id="39" w:name="_Toc34051808"/>
      <w:bookmarkStart w:id="40" w:name="_Toc33698135"/>
      <w:r>
        <w:rPr>
          <w:rFonts w:ascii="Times New Roman" w:hAnsi="Times New Roman" w:eastAsia="黑体"/>
          <w:b/>
          <w:kern w:val="0"/>
          <w:sz w:val="32"/>
          <w:szCs w:val="32"/>
        </w:rPr>
        <w:t>四、比选申请人、报价产品资格、资质性及其他类似效力要求的相关证明材料</w:t>
      </w:r>
      <w:bookmarkEnd w:id="36"/>
      <w:bookmarkEnd w:id="37"/>
      <w:bookmarkEnd w:id="38"/>
      <w:bookmarkEnd w:id="39"/>
      <w:bookmarkEnd w:id="40"/>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41" w:name="_Toc436820890"/>
      <w:bookmarkStart w:id="42" w:name="_Toc436404120"/>
      <w:bookmarkStart w:id="43" w:name="_Toc436385992"/>
      <w:bookmarkStart w:id="44" w:name="_Toc307564880"/>
      <w:bookmarkStart w:id="45" w:name="_Toc436410129"/>
      <w:r>
        <w:rPr>
          <w:rFonts w:ascii="Times New Roman" w:hAnsi="Times New Roman"/>
          <w:kern w:val="0"/>
          <w:sz w:val="24"/>
          <w:szCs w:val="20"/>
        </w:rPr>
        <w:br w:type="page"/>
      </w:r>
      <w:bookmarkEnd w:id="41"/>
      <w:bookmarkEnd w:id="42"/>
      <w:bookmarkEnd w:id="43"/>
      <w:bookmarkEnd w:id="44"/>
      <w:bookmarkEnd w:id="45"/>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46" w:name="_Toc503986415"/>
      <w:bookmarkStart w:id="47" w:name="_Toc503987183"/>
      <w:bookmarkStart w:id="48" w:name="_Toc503987104"/>
      <w:bookmarkStart w:id="49" w:name="_Toc503986971"/>
      <w:bookmarkStart w:id="50" w:name="_Toc503986838"/>
      <w:bookmarkStart w:id="51"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52" w:name="_Toc40447271"/>
      <w:bookmarkStart w:id="53" w:name="_Toc34051809"/>
      <w:bookmarkStart w:id="54" w:name="_Toc52036330"/>
      <w:bookmarkStart w:id="55" w:name="_Toc33709797"/>
      <w:bookmarkStart w:id="56" w:name="_Toc33698136"/>
      <w:r>
        <w:rPr>
          <w:rFonts w:ascii="Times New Roman" w:hAnsi="Times New Roman" w:eastAsia="黑体"/>
          <w:b/>
          <w:kern w:val="0"/>
          <w:sz w:val="32"/>
          <w:szCs w:val="32"/>
        </w:rPr>
        <w:t>八、满足实质性要求承诺函</w:t>
      </w:r>
      <w:bookmarkEnd w:id="46"/>
      <w:bookmarkEnd w:id="47"/>
      <w:bookmarkEnd w:id="48"/>
      <w:bookmarkEnd w:id="49"/>
      <w:bookmarkEnd w:id="50"/>
      <w:bookmarkEnd w:id="51"/>
      <w:bookmarkEnd w:id="52"/>
      <w:bookmarkEnd w:id="53"/>
      <w:bookmarkEnd w:id="54"/>
      <w:bookmarkEnd w:id="55"/>
      <w:bookmarkEnd w:id="5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57" w:name="_Toc33698137"/>
      <w:bookmarkStart w:id="58" w:name="_Toc40447272"/>
      <w:bookmarkStart w:id="59" w:name="_Toc33709798"/>
      <w:bookmarkStart w:id="60" w:name="_Toc52036331"/>
      <w:bookmarkStart w:id="61" w:name="_Toc34051810"/>
      <w:r>
        <w:rPr>
          <w:rFonts w:ascii="Times New Roman" w:hAnsi="Times New Roman" w:eastAsia="黑体"/>
          <w:b/>
          <w:kern w:val="0"/>
          <w:sz w:val="32"/>
          <w:szCs w:val="32"/>
        </w:rPr>
        <w:t>九、知识产权承诺函</w:t>
      </w:r>
      <w:bookmarkEnd w:id="57"/>
      <w:bookmarkEnd w:id="58"/>
      <w:bookmarkEnd w:id="59"/>
      <w:bookmarkEnd w:id="60"/>
      <w:bookmarkEnd w:id="61"/>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62"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62"/>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89F90"/>
    <w:multiLevelType w:val="singleLevel"/>
    <w:tmpl w:val="BFF89F90"/>
    <w:lvl w:ilvl="0" w:tentative="0">
      <w:start w:val="1"/>
      <w:numFmt w:val="decimal"/>
      <w:suff w:val="nothing"/>
      <w:lvlText w:val="%1、"/>
      <w:lvlJc w:val="left"/>
    </w:lvl>
  </w:abstractNum>
  <w:abstractNum w:abstractNumId="1">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32558AB"/>
    <w:rsid w:val="04E70C2A"/>
    <w:rsid w:val="082E244F"/>
    <w:rsid w:val="0AFA5A96"/>
    <w:rsid w:val="0B6010B4"/>
    <w:rsid w:val="0CD27FFC"/>
    <w:rsid w:val="0D0F4ED6"/>
    <w:rsid w:val="0DAC4D70"/>
    <w:rsid w:val="0E677033"/>
    <w:rsid w:val="0E7F1957"/>
    <w:rsid w:val="14E84654"/>
    <w:rsid w:val="15200185"/>
    <w:rsid w:val="15304B56"/>
    <w:rsid w:val="17122347"/>
    <w:rsid w:val="17F6222D"/>
    <w:rsid w:val="18461C09"/>
    <w:rsid w:val="1B266D2D"/>
    <w:rsid w:val="1B4D05AA"/>
    <w:rsid w:val="1BAC4722"/>
    <w:rsid w:val="1C281231"/>
    <w:rsid w:val="1C88336B"/>
    <w:rsid w:val="1CBF41C4"/>
    <w:rsid w:val="1E0A001A"/>
    <w:rsid w:val="1E9B5F74"/>
    <w:rsid w:val="1F1D0593"/>
    <w:rsid w:val="1F2324A2"/>
    <w:rsid w:val="1FAE4192"/>
    <w:rsid w:val="1FDE786A"/>
    <w:rsid w:val="20A2053B"/>
    <w:rsid w:val="20D54F08"/>
    <w:rsid w:val="20ED7DFF"/>
    <w:rsid w:val="22CA3482"/>
    <w:rsid w:val="232908F4"/>
    <w:rsid w:val="247F6619"/>
    <w:rsid w:val="26463681"/>
    <w:rsid w:val="271909D4"/>
    <w:rsid w:val="27457A1B"/>
    <w:rsid w:val="29A7364C"/>
    <w:rsid w:val="2A092A55"/>
    <w:rsid w:val="2B970CE2"/>
    <w:rsid w:val="2BD0497A"/>
    <w:rsid w:val="2BF11E95"/>
    <w:rsid w:val="2BFC0981"/>
    <w:rsid w:val="2D7C46D0"/>
    <w:rsid w:val="2F5D26AF"/>
    <w:rsid w:val="2FB70420"/>
    <w:rsid w:val="31B9528D"/>
    <w:rsid w:val="32CD2AF9"/>
    <w:rsid w:val="32E80129"/>
    <w:rsid w:val="33D16649"/>
    <w:rsid w:val="3410163B"/>
    <w:rsid w:val="352C0BF7"/>
    <w:rsid w:val="35DF103A"/>
    <w:rsid w:val="3609706D"/>
    <w:rsid w:val="36F100CE"/>
    <w:rsid w:val="37164E99"/>
    <w:rsid w:val="3839273F"/>
    <w:rsid w:val="38AC5B4C"/>
    <w:rsid w:val="39202673"/>
    <w:rsid w:val="3A83468A"/>
    <w:rsid w:val="3BE1743B"/>
    <w:rsid w:val="3BF758E5"/>
    <w:rsid w:val="3C693B9A"/>
    <w:rsid w:val="3F3026AC"/>
    <w:rsid w:val="3FDC7247"/>
    <w:rsid w:val="40F37FB8"/>
    <w:rsid w:val="444F0625"/>
    <w:rsid w:val="45392515"/>
    <w:rsid w:val="45BE1E11"/>
    <w:rsid w:val="45EA0429"/>
    <w:rsid w:val="46D1677D"/>
    <w:rsid w:val="46FB0382"/>
    <w:rsid w:val="472C4F7A"/>
    <w:rsid w:val="478661AE"/>
    <w:rsid w:val="47EB6865"/>
    <w:rsid w:val="497C50C6"/>
    <w:rsid w:val="49EF479F"/>
    <w:rsid w:val="4BC43E4C"/>
    <w:rsid w:val="4C2C6594"/>
    <w:rsid w:val="4C7D185E"/>
    <w:rsid w:val="4E81291C"/>
    <w:rsid w:val="50165E6F"/>
    <w:rsid w:val="50277BC9"/>
    <w:rsid w:val="50D15CF8"/>
    <w:rsid w:val="51066F16"/>
    <w:rsid w:val="51AE40DC"/>
    <w:rsid w:val="52B14033"/>
    <w:rsid w:val="53455021"/>
    <w:rsid w:val="538A508B"/>
    <w:rsid w:val="5422686A"/>
    <w:rsid w:val="55356E1A"/>
    <w:rsid w:val="568E6439"/>
    <w:rsid w:val="56B93C5A"/>
    <w:rsid w:val="578E0FAB"/>
    <w:rsid w:val="58360F93"/>
    <w:rsid w:val="58BA1F78"/>
    <w:rsid w:val="599D70BF"/>
    <w:rsid w:val="5AA9706F"/>
    <w:rsid w:val="5AAD383C"/>
    <w:rsid w:val="5B505E97"/>
    <w:rsid w:val="5C471997"/>
    <w:rsid w:val="5DD8138D"/>
    <w:rsid w:val="5DEF0CB7"/>
    <w:rsid w:val="5E435D5B"/>
    <w:rsid w:val="5EBF7E2B"/>
    <w:rsid w:val="5F9B0133"/>
    <w:rsid w:val="611E7ED2"/>
    <w:rsid w:val="617A7CE6"/>
    <w:rsid w:val="62892A63"/>
    <w:rsid w:val="644735FB"/>
    <w:rsid w:val="64633872"/>
    <w:rsid w:val="659F01D8"/>
    <w:rsid w:val="66350708"/>
    <w:rsid w:val="6686620A"/>
    <w:rsid w:val="68871E97"/>
    <w:rsid w:val="68B977C1"/>
    <w:rsid w:val="692844CB"/>
    <w:rsid w:val="69E4351C"/>
    <w:rsid w:val="6A4F2F1A"/>
    <w:rsid w:val="6ABE0C43"/>
    <w:rsid w:val="6B8A20A2"/>
    <w:rsid w:val="6B8C2459"/>
    <w:rsid w:val="6BB8153D"/>
    <w:rsid w:val="6BDF60AB"/>
    <w:rsid w:val="6C320399"/>
    <w:rsid w:val="6C755241"/>
    <w:rsid w:val="6D50327E"/>
    <w:rsid w:val="6F514ADE"/>
    <w:rsid w:val="6F833AC6"/>
    <w:rsid w:val="6FA74BB9"/>
    <w:rsid w:val="6FD902CD"/>
    <w:rsid w:val="713951B9"/>
    <w:rsid w:val="71593422"/>
    <w:rsid w:val="72B059E8"/>
    <w:rsid w:val="732C647B"/>
    <w:rsid w:val="7353202C"/>
    <w:rsid w:val="7466395C"/>
    <w:rsid w:val="74F117E3"/>
    <w:rsid w:val="76481D09"/>
    <w:rsid w:val="76F43665"/>
    <w:rsid w:val="770737D2"/>
    <w:rsid w:val="798D4602"/>
    <w:rsid w:val="7A1B6C1E"/>
    <w:rsid w:val="7A351B2A"/>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8434</Words>
  <Characters>8764</Characters>
  <Lines>102</Lines>
  <Paragraphs>28</Paragraphs>
  <TotalTime>6</TotalTime>
  <ScaleCrop>false</ScaleCrop>
  <LinksUpToDate>false</LinksUpToDate>
  <CharactersWithSpaces>10322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2022-11-17T02:15:55Z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F47F42B6397243A990682B8866FFC27D</vt:lpwstr>
  </property>
</Properties>
</file>