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三台县人民医院关于</w:t>
      </w:r>
      <w:r>
        <w:rPr>
          <w:rFonts w:hint="eastAsia" w:ascii="Times New Roman" w:hAnsi="Times New Roman"/>
          <w:sz w:val="32"/>
          <w:szCs w:val="32"/>
          <w:lang w:eastAsia="zh-CN"/>
        </w:rPr>
        <w:t>脑波治疗仪、鼓膜治疗仪、冷冻台、漂片仪、电动康复床</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color w:val="000000"/>
          <w:sz w:val="24"/>
          <w:lang w:eastAsia="zh-CN"/>
        </w:rPr>
        <w:t>脑波治疗仪、鼓膜治疗仪、冷冻台、漂片仪、电动康复床，</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脑波治疗仪、鼓膜治疗仪、冷冻台、漂片仪、电动康复床</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522"/>
        <w:gridCol w:w="2220"/>
        <w:gridCol w:w="22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脑波治疗仪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鼓膜治疗仪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5</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冷冻台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vMerge w:val="restar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vMerge w:val="continue"/>
            <w:tcBorders>
              <w:left w:val="single" w:color="auto" w:sz="4" w:space="0"/>
              <w:right w:val="single" w:color="auto" w:sz="4" w:space="0"/>
            </w:tcBorders>
            <w:vAlign w:val="center"/>
          </w:tcPr>
          <w:p>
            <w:pPr>
              <w:jc w:val="center"/>
              <w:rPr>
                <w:rFonts w:hint="eastAsia" w:ascii="Times New Roman" w:hAnsi="Times New Roman"/>
                <w:sz w:val="24"/>
                <w:lang w:val="en-US" w:eastAsia="zh-CN"/>
              </w:rPr>
            </w:pP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漂片仪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电动康复床</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6</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bl>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w:t>
      </w:r>
      <w:r>
        <w:rPr>
          <w:rFonts w:hint="eastAsia" w:ascii="Times New Roman" w:hAnsi="Times New Roman"/>
          <w:b w:val="0"/>
          <w:bCs/>
          <w:sz w:val="24"/>
          <w:lang w:val="en-US" w:eastAsia="zh-CN"/>
        </w:rPr>
        <w:t>23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16</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4"/>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4"/>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三台县人民医院关于脑波治疗仪、鼓膜治疗仪、冷冻台、漂片仪、电动康复床采购的比选文件</w:t>
      </w:r>
    </w:p>
    <w:p>
      <w:pPr>
        <w:pStyle w:val="4"/>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color w:val="000000"/>
          <w:sz w:val="24"/>
          <w:lang w:eastAsia="zh-CN"/>
        </w:rPr>
        <w:t>拟</w:t>
      </w:r>
      <w:r>
        <w:rPr>
          <w:rFonts w:hint="eastAsia" w:ascii="Times New Roman" w:hAnsi="Times New Roman"/>
          <w:sz w:val="24"/>
        </w:rPr>
        <w:t>采购</w:t>
      </w:r>
      <w:r>
        <w:rPr>
          <w:rFonts w:hint="eastAsia" w:ascii="Times New Roman" w:hAnsi="Times New Roman"/>
          <w:color w:val="000000"/>
          <w:sz w:val="24"/>
          <w:lang w:eastAsia="zh-CN"/>
        </w:rPr>
        <w:t>脑波治疗仪、鼓膜治疗仪、冷冻台、漂片仪、电动康复床，</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脑波治疗仪、鼓膜治疗仪、冷冻台、漂片仪、电动康复床</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522"/>
        <w:gridCol w:w="2220"/>
        <w:gridCol w:w="226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2"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rPr>
              <w:t>包号</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预算</w:t>
            </w:r>
            <w:r>
              <w:rPr>
                <w:rFonts w:hint="eastAsia" w:ascii="Times New Roman" w:hAnsi="Times New Roman"/>
                <w:b/>
                <w:sz w:val="24"/>
              </w:rPr>
              <w:t>单价</w:t>
            </w:r>
            <w:r>
              <w:rPr>
                <w:rFonts w:ascii="Times New Roman" w:hAnsi="Times New Roman"/>
                <w:b/>
                <w:sz w:val="24"/>
              </w:rPr>
              <w:t>（万元）</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脑波治疗仪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10</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top w:val="single" w:color="auto" w:sz="4" w:space="0"/>
              <w:left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02</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鼓膜治疗仪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5</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03</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冷冻台</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vMerge w:val="restar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各1台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vMerge w:val="continue"/>
            <w:tcBorders>
              <w:left w:val="single" w:color="auto" w:sz="4" w:space="0"/>
              <w:right w:val="single" w:color="auto" w:sz="4" w:space="0"/>
            </w:tcBorders>
            <w:vAlign w:val="center"/>
          </w:tcPr>
          <w:p>
            <w:pPr>
              <w:jc w:val="center"/>
              <w:rPr>
                <w:rFonts w:hint="eastAsia" w:ascii="Times New Roman" w:hAnsi="Times New Roman"/>
                <w:sz w:val="24"/>
                <w:lang w:val="en-US" w:eastAsia="zh-CN"/>
              </w:rPr>
            </w:pP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漂片仪</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1</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vMerge w:val="continue"/>
            <w:tcBorders>
              <w:left w:val="single" w:color="auto" w:sz="4" w:space="0"/>
              <w:right w:val="single" w:color="auto" w:sz="4" w:space="0"/>
            </w:tcBorders>
            <w:vAlign w:val="center"/>
          </w:tcPr>
          <w:p>
            <w:pPr>
              <w:jc w:val="center"/>
              <w:rPr>
                <w:rFonts w:hint="eastAsia" w:ascii="Times New Roman" w:hAnsi="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32" w:type="pct"/>
            <w:tcBorders>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04</w:t>
            </w:r>
          </w:p>
        </w:tc>
        <w:tc>
          <w:tcPr>
            <w:tcW w:w="148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电动康复床</w:t>
            </w:r>
          </w:p>
        </w:tc>
        <w:tc>
          <w:tcPr>
            <w:tcW w:w="130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6</w:t>
            </w:r>
          </w:p>
        </w:tc>
        <w:tc>
          <w:tcPr>
            <w:tcW w:w="132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eastAsia="zh-CN"/>
              </w:rPr>
              <w:t>否</w:t>
            </w:r>
          </w:p>
        </w:tc>
        <w:tc>
          <w:tcPr>
            <w:tcW w:w="554" w:type="pct"/>
            <w:tcBorders>
              <w:left w:val="single" w:color="auto" w:sz="4" w:space="0"/>
              <w:right w:val="single" w:color="auto" w:sz="4" w:space="0"/>
            </w:tcBorders>
            <w:vAlign w:val="center"/>
          </w:tcPr>
          <w:p>
            <w:pPr>
              <w:jc w:val="center"/>
              <w:rPr>
                <w:rFonts w:hint="eastAsia" w:ascii="Times New Roman" w:hAnsi="Times New Roman"/>
                <w:sz w:val="24"/>
                <w:lang w:eastAsia="zh-CN"/>
              </w:rPr>
            </w:pPr>
            <w:r>
              <w:rPr>
                <w:rFonts w:hint="eastAsia" w:ascii="Times New Roman" w:hAnsi="Times New Roman"/>
                <w:sz w:val="24"/>
                <w:lang w:val="en-US" w:eastAsia="zh-CN"/>
              </w:rPr>
              <w:t>1台</w:t>
            </w:r>
          </w:p>
        </w:tc>
      </w:tr>
    </w:tbl>
    <w:p>
      <w:pPr>
        <w:keepNext w:val="0"/>
        <w:keepLines w:val="0"/>
        <w:pageBreakBefore w:val="0"/>
        <w:widowControl w:val="0"/>
        <w:numPr>
          <w:ilvl w:val="0"/>
          <w:numId w:val="0"/>
        </w:numPr>
        <w:kinsoku/>
        <w:wordWrap/>
        <w:overflowPunct/>
        <w:topLinePunct w:val="0"/>
        <w:bidi w:val="0"/>
        <w:snapToGrid/>
        <w:spacing w:line="380" w:lineRule="exact"/>
        <w:ind w:leftChars="0"/>
        <w:textAlignment w:val="auto"/>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7、具有医疗器械经营企业许可证或医疗器械经营备案凭证（设备为I类医疗器械、不属于医疗器械不提供）。</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keepNext w:val="0"/>
        <w:keepLines w:val="0"/>
        <w:pageBreakBefore w:val="0"/>
        <w:widowControl w:val="0"/>
        <w:kinsoku/>
        <w:wordWrap/>
        <w:overflowPunct/>
        <w:topLinePunct w:val="0"/>
        <w:autoSpaceDE w:val="0"/>
        <w:autoSpaceDN w:val="0"/>
        <w:bidi w:val="0"/>
        <w:adjustRightInd w:val="0"/>
        <w:snapToGrid/>
        <w:spacing w:line="380" w:lineRule="exact"/>
        <w:ind w:left="361" w:hanging="361" w:hangingChars="150"/>
        <w:contextualSpacing/>
        <w:textAlignment w:val="auto"/>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r>
        <w:rPr>
          <w:rFonts w:hint="eastAsia" w:ascii="Times New Roman" w:hAnsi="Times New Roman"/>
          <w:color w:val="0D0D0D"/>
          <w:kern w:val="0"/>
          <w:sz w:val="24"/>
          <w:lang w:val="zh-CN"/>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val="0"/>
        <w:autoSpaceDN w:val="0"/>
        <w:bidi w:val="0"/>
        <w:adjustRightInd w:val="0"/>
        <w:snapToGrid/>
        <w:spacing w:line="38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val="0"/>
        <w:autoSpaceDN w:val="0"/>
        <w:bidi w:val="0"/>
        <w:adjustRightInd w:val="0"/>
        <w:snapToGrid/>
        <w:spacing w:line="380" w:lineRule="exact"/>
        <w:ind w:left="1"/>
        <w:contextualSpacing/>
        <w:textAlignment w:val="auto"/>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11</w:t>
      </w:r>
      <w:r>
        <w:rPr>
          <w:rFonts w:hint="eastAsia" w:ascii="Times New Roman" w:hAnsi="Times New Roman"/>
          <w:sz w:val="24"/>
        </w:rPr>
        <w:t>日8</w:t>
      </w:r>
      <w:r>
        <w:rPr>
          <w:rFonts w:hint="eastAsia" w:ascii="Times New Roman" w:hAnsi="Times New Roman"/>
          <w:sz w:val="24"/>
          <w:lang w:eastAsia="zh-CN"/>
        </w:rPr>
        <w:t>：</w:t>
      </w:r>
      <w:r>
        <w:rPr>
          <w:rFonts w:ascii="Times New Roman" w:hAnsi="Times New Roman"/>
          <w:sz w:val="24"/>
        </w:rPr>
        <w:t>00～12</w:t>
      </w:r>
      <w:r>
        <w:rPr>
          <w:rFonts w:hint="eastAsia" w:ascii="Times New Roman" w:hAnsi="Times New Roman"/>
          <w:sz w:val="24"/>
          <w:lang w:eastAsia="zh-CN"/>
        </w:rPr>
        <w:t>：</w:t>
      </w:r>
      <w:r>
        <w:rPr>
          <w:rFonts w:ascii="Times New Roman" w:hAnsi="Times New Roman"/>
          <w:sz w:val="24"/>
        </w:rPr>
        <w:t>00、1</w:t>
      </w:r>
      <w:r>
        <w:rPr>
          <w:rFonts w:hint="eastAsia" w:ascii="Times New Roman" w:hAnsi="Times New Roman"/>
          <w:sz w:val="24"/>
        </w:rPr>
        <w:t>4</w:t>
      </w:r>
      <w:r>
        <w:rPr>
          <w:rFonts w:hint="eastAsia" w:ascii="Times New Roman" w:hAnsi="Times New Roman"/>
          <w:sz w:val="24"/>
          <w:lang w:eastAsia="zh-CN"/>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8：0</w:t>
      </w:r>
      <w:r>
        <w:rPr>
          <w:rFonts w:ascii="Times New Roman" w:hAnsi="Times New Roman"/>
          <w:sz w:val="24"/>
        </w:rPr>
        <w:t>0（北京时间，法定节假日除外）</w:t>
      </w:r>
      <w:r>
        <w:rPr>
          <w:rFonts w:hint="eastAsia" w:ascii="Times New Roman" w:hAnsi="Times New Roman"/>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16</w:t>
      </w:r>
      <w:r>
        <w:rPr>
          <w:rFonts w:ascii="Times New Roman" w:hAnsi="Times New Roman"/>
          <w:sz w:val="24"/>
        </w:rPr>
        <w:t>日</w:t>
      </w:r>
      <w:r>
        <w:rPr>
          <w:rFonts w:hint="eastAsia" w:ascii="Times New Roman" w:hAnsi="Times New Roman"/>
          <w:kern w:val="0"/>
          <w:sz w:val="24"/>
          <w:lang w:val="en-US" w:eastAsia="zh-CN"/>
        </w:rPr>
        <w:t>12：0</w:t>
      </w:r>
      <w:r>
        <w:rPr>
          <w:rFonts w:ascii="Times New Roman" w:hAnsi="Times New Roman"/>
          <w:kern w:val="0"/>
          <w:sz w:val="24"/>
        </w:rPr>
        <w:t>0（北京时间）。</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一正一副，密封、邮寄</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16</w:t>
      </w:r>
      <w:r>
        <w:rPr>
          <w:rFonts w:ascii="Times New Roman" w:hAnsi="Times New Roman"/>
          <w:b w:val="0"/>
          <w:bCs/>
          <w:kern w:val="0"/>
          <w:sz w:val="24"/>
        </w:rPr>
        <w:t>日1</w:t>
      </w:r>
      <w:r>
        <w:rPr>
          <w:rFonts w:hint="eastAsia" w:ascii="Times New Roman" w:hAnsi="Times New Roman"/>
          <w:b w:val="0"/>
          <w:bCs/>
          <w:kern w:val="0"/>
          <w:sz w:val="24"/>
          <w:lang w:val="en-US" w:eastAsia="zh-CN"/>
        </w:rPr>
        <w:t>5：0</w:t>
      </w:r>
      <w:r>
        <w:rPr>
          <w:rFonts w:ascii="Times New Roman" w:hAnsi="Times New Roman"/>
          <w:b w:val="0"/>
          <w:bCs/>
          <w:kern w:val="0"/>
          <w:sz w:val="24"/>
        </w:rPr>
        <w:t>0（北京时间）。</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pStyle w:val="46"/>
        <w:ind w:left="0" w:leftChars="0" w:firstLine="0" w:firstLineChars="0"/>
        <w:contextualSpacing/>
        <w:rPr>
          <w:color w:val="000000"/>
          <w:sz w:val="24"/>
        </w:rPr>
      </w:pPr>
      <w:r>
        <w:rPr>
          <w:rFonts w:hint="eastAsia" w:ascii="Times New Roman" w:hAnsi="Times New Roman"/>
          <w:b/>
          <w:kern w:val="0"/>
          <w:sz w:val="24"/>
        </w:rPr>
        <w:t>十一、</w:t>
      </w:r>
      <w:r>
        <w:rPr>
          <w:rFonts w:hint="eastAsia"/>
          <w:b/>
          <w:bCs/>
          <w:sz w:val="24"/>
          <w:lang w:eastAsia="zh-CN"/>
        </w:rPr>
        <w:t>项目咨询电话：</w:t>
      </w:r>
      <w:r>
        <w:rPr>
          <w:rFonts w:hint="eastAsia"/>
          <w:b w:val="0"/>
          <w:bCs w:val="0"/>
          <w:sz w:val="24"/>
          <w:lang w:eastAsia="zh-CN"/>
        </w:rPr>
        <w:t>张老师</w:t>
      </w:r>
      <w:r>
        <w:rPr>
          <w:rFonts w:hint="eastAsia"/>
          <w:b w:val="0"/>
          <w:bCs w:val="0"/>
          <w:sz w:val="24"/>
          <w:lang w:val="en-US" w:eastAsia="zh-CN"/>
        </w:rPr>
        <w:t xml:space="preserve"> 15808168353</w:t>
      </w: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pStyle w:val="4"/>
        <w:pageBreakBefore w:val="0"/>
        <w:numPr>
          <w:ilvl w:val="0"/>
          <w:numId w:val="2"/>
        </w:numPr>
        <w:kinsoku/>
        <w:wordWrap/>
        <w:overflowPunct/>
        <w:topLinePunct w:val="0"/>
        <w:autoSpaceDE/>
        <w:autoSpaceDN/>
        <w:bidi w:val="0"/>
        <w:adjustRightInd/>
        <w:snapToGrid/>
        <w:spacing w:before="0" w:after="0" w:line="320" w:lineRule="exact"/>
        <w:jc w:val="center"/>
        <w:textAlignment w:val="auto"/>
        <w:rPr>
          <w:rFonts w:ascii="Times New Roman" w:hAnsi="Times New Roman"/>
          <w:sz w:val="30"/>
          <w:szCs w:val="30"/>
        </w:rPr>
      </w:pPr>
      <w:r>
        <w:rPr>
          <w:rFonts w:ascii="Times New Roman" w:hAnsi="Times New Roman"/>
          <w:sz w:val="30"/>
          <w:szCs w:val="30"/>
        </w:rPr>
        <w:t xml:space="preserve"> 比选项目技术、服务、及其他商务要求</w:t>
      </w:r>
      <w:bookmarkEnd w:id="4"/>
    </w:p>
    <w:p>
      <w:pPr>
        <w:numPr>
          <w:ilvl w:val="0"/>
          <w:numId w:val="0"/>
        </w:numPr>
      </w:pPr>
    </w:p>
    <w:p>
      <w:pPr>
        <w:pageBreakBefore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color w:val="auto"/>
          <w:kern w:val="0"/>
          <w:sz w:val="24"/>
        </w:rPr>
      </w:pPr>
      <w:r>
        <w:rPr>
          <w:rFonts w:hint="eastAsia" w:ascii="Times New Roman" w:hAnsi="Times New Roman"/>
          <w:b/>
          <w:bCs/>
          <w:color w:val="auto"/>
          <w:kern w:val="0"/>
          <w:sz w:val="24"/>
          <w:lang w:val="zh-CN" w:eastAsia="zh-CN"/>
        </w:rPr>
        <w:t>第01包</w:t>
      </w:r>
      <w:bookmarkStart w:id="5" w:name="_Toc233048245"/>
      <w:bookmarkStart w:id="6" w:name="_Toc350964160"/>
      <w:r>
        <w:rPr>
          <w:rFonts w:hint="eastAsia" w:ascii="Times New Roman" w:hAnsi="Times New Roman"/>
          <w:b/>
          <w:bCs/>
          <w:color w:val="auto"/>
          <w:kern w:val="0"/>
          <w:sz w:val="24"/>
          <w:lang w:val="en-US" w:eastAsia="zh-CN"/>
        </w:rPr>
        <w:t xml:space="preserve">  </w:t>
      </w:r>
      <w:r>
        <w:rPr>
          <w:rFonts w:hint="eastAsia" w:ascii="Times New Roman" w:hAnsi="Times New Roman"/>
          <w:b/>
          <w:bCs/>
          <w:color w:val="auto"/>
          <w:kern w:val="0"/>
          <w:sz w:val="24"/>
        </w:rPr>
        <w:t>脑波治疗仪</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rPr>
        <w:t>1、▲供医疗机构对失眠、强迫症等进行辅助治疗，无任何禁忌症。</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ascii="Times New Roman" w:hAnsi="Times New Roman"/>
          <w:kern w:val="0"/>
          <w:sz w:val="24"/>
        </w:rPr>
        <w:t>2</w:t>
      </w:r>
      <w:r>
        <w:rPr>
          <w:rFonts w:hint="eastAsia" w:ascii="Times New Roman" w:hAnsi="Times New Roman"/>
          <w:kern w:val="0"/>
          <w:sz w:val="24"/>
        </w:rPr>
        <w:t>、整合三种疗法于一体：声光脑波同步疗法、音乐疗法、电刺激疗法；由模拟脑电波组合发生器、穴位电脉冲发生器和专用眼罩、耳机、治疗电极组成</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ascii="Times New Roman" w:hAnsi="Times New Roman"/>
          <w:kern w:val="0"/>
          <w:sz w:val="24"/>
        </w:rPr>
        <w:t>3</w:t>
      </w:r>
      <w:r>
        <w:rPr>
          <w:rFonts w:hint="eastAsia" w:ascii="Times New Roman" w:hAnsi="Times New Roman"/>
          <w:kern w:val="0"/>
          <w:sz w:val="24"/>
        </w:rPr>
        <w:t>、</w:t>
      </w:r>
      <w:bookmarkStart w:id="7" w:name="_Hlk111542914"/>
      <w:r>
        <w:rPr>
          <w:rFonts w:hint="eastAsia" w:ascii="Times New Roman" w:hAnsi="Times New Roman"/>
          <w:kern w:val="0"/>
          <w:sz w:val="24"/>
        </w:rPr>
        <w:t>▲一体机实现声、光、电8路输出，实施8人团体治疗</w:t>
      </w:r>
      <w:bookmarkEnd w:id="7"/>
      <w:r>
        <w:rPr>
          <w:rFonts w:hint="eastAsia" w:ascii="Times New Roman" w:hAnsi="Times New Roman"/>
          <w:kern w:val="0"/>
          <w:sz w:val="24"/>
        </w:rPr>
        <w:t>；并具有8</w:t>
      </w:r>
      <w:r>
        <w:rPr>
          <w:rFonts w:ascii="Times New Roman" w:hAnsi="Times New Roman"/>
          <w:kern w:val="0"/>
          <w:sz w:val="24"/>
        </w:rPr>
        <w:t>+N</w:t>
      </w:r>
      <w:r>
        <w:rPr>
          <w:rFonts w:hint="eastAsia" w:ascii="Times New Roman" w:hAnsi="Times New Roman"/>
          <w:kern w:val="0"/>
          <w:sz w:val="24"/>
        </w:rPr>
        <w:t>扩展模式，根据需求扩展N个移动治疗终端，实现8</w:t>
      </w:r>
      <w:r>
        <w:rPr>
          <w:rFonts w:ascii="Times New Roman" w:hAnsi="Times New Roman"/>
          <w:kern w:val="0"/>
          <w:sz w:val="24"/>
        </w:rPr>
        <w:t>+N</w:t>
      </w:r>
      <w:r>
        <w:rPr>
          <w:rFonts w:hint="eastAsia" w:ascii="Times New Roman" w:hAnsi="Times New Roman"/>
          <w:kern w:val="0"/>
          <w:sz w:val="24"/>
        </w:rPr>
        <w:t>个被试的治疗方案</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ascii="Times New Roman" w:hAnsi="Times New Roman"/>
          <w:kern w:val="0"/>
          <w:sz w:val="24"/>
        </w:rPr>
        <w:t>4</w:t>
      </w:r>
      <w:r>
        <w:rPr>
          <w:rFonts w:hint="eastAsia" w:ascii="Times New Roman" w:hAnsi="Times New Roman"/>
          <w:kern w:val="0"/>
          <w:sz w:val="24"/>
        </w:rPr>
        <w:t>、声、光、电信号输出调节均由面板实现，无机械电位器</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ascii="Times New Roman" w:hAnsi="Times New Roman"/>
          <w:kern w:val="0"/>
          <w:sz w:val="24"/>
        </w:rPr>
        <w:t>5</w:t>
      </w:r>
      <w:r>
        <w:rPr>
          <w:rFonts w:hint="eastAsia" w:ascii="Times New Roman" w:hAnsi="Times New Roman"/>
          <w:kern w:val="0"/>
          <w:sz w:val="24"/>
        </w:rPr>
        <w:t>、▲为适应医院特殊病人需求，整机不含液晶等含玻璃材质的器件，避免病人不受控而引发的次生危机发生。</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bookmarkStart w:id="8" w:name="_Hlk111541682"/>
      <w:r>
        <w:rPr>
          <w:rFonts w:hint="eastAsia" w:ascii="Times New Roman" w:hAnsi="Times New Roman"/>
          <w:kern w:val="0"/>
          <w:sz w:val="24"/>
        </w:rPr>
        <w:t>6、▲</w:t>
      </w:r>
      <w:bookmarkEnd w:id="8"/>
      <w:r>
        <w:rPr>
          <w:rFonts w:hint="eastAsia" w:ascii="Times New Roman" w:hAnsi="Times New Roman"/>
          <w:kern w:val="0"/>
          <w:sz w:val="24"/>
        </w:rPr>
        <w:t>模拟脑电波声和光刺激输出：有≥14组基本治疗处方，任选一组，光和声刺激各≥8路输出；声左右通道、光左右通道能同步、交叉、前后、左右等模式</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bookmarkStart w:id="9" w:name="_Hlk108601789"/>
      <w:r>
        <w:rPr>
          <w:rFonts w:hint="eastAsia" w:ascii="Times New Roman" w:hAnsi="Times New Roman"/>
          <w:kern w:val="0"/>
          <w:sz w:val="24"/>
        </w:rPr>
        <w:t>7、▲</w:t>
      </w:r>
      <w:bookmarkEnd w:id="9"/>
      <w:r>
        <w:rPr>
          <w:rFonts w:hint="eastAsia" w:ascii="Times New Roman" w:hAnsi="Times New Roman"/>
          <w:kern w:val="0"/>
          <w:sz w:val="24"/>
        </w:rPr>
        <w:t>声波调制频率：模拟≥4种脑电波，载波频率≥2种，且音频频率可通过操作面板“音频调节键”调节；可自定义多种模式</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hint="eastAsia" w:ascii="Times New Roman" w:hAnsi="Times New Roman"/>
          <w:kern w:val="0"/>
          <w:sz w:val="24"/>
        </w:rPr>
        <w:t>8、音频及混响输出：路数≥8路，信号功率≤6 mw, 频响80Hz-75kHz</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hint="eastAsia" w:ascii="Times New Roman" w:hAnsi="Times New Roman"/>
          <w:kern w:val="0"/>
          <w:sz w:val="24"/>
        </w:rPr>
        <w:t>9、治疗电脉冲输出：≥8对可调输出；频率1.4Hz±5%，脉宽1.2ms±5%,幅值0-130±10，分≥16级可调</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rPr>
        <w:t>10、三种疗法协同：声光牵引脑波同步疗法、音乐疗法、电刺激（经皮电刺激TENS、经头颅电刺激CES）疗法</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b/>
          <w:bCs/>
          <w:color w:val="auto"/>
          <w:kern w:val="0"/>
          <w:sz w:val="24"/>
        </w:rPr>
      </w:pPr>
      <w:r>
        <w:rPr>
          <w:rFonts w:hint="eastAsia" w:ascii="Times New Roman" w:hAnsi="Times New Roman"/>
          <w:b/>
          <w:bCs/>
          <w:color w:val="auto"/>
          <w:kern w:val="0"/>
          <w:sz w:val="24"/>
          <w:lang w:val="en-US" w:eastAsia="zh-CN"/>
        </w:rPr>
        <w:t xml:space="preserve">第02包  </w:t>
      </w:r>
      <w:r>
        <w:rPr>
          <w:rFonts w:hint="eastAsia" w:ascii="Times New Roman" w:hAnsi="Times New Roman"/>
          <w:b/>
          <w:bCs/>
          <w:color w:val="auto"/>
          <w:kern w:val="0"/>
          <w:sz w:val="24"/>
        </w:rPr>
        <w:t>鼓膜治疗仪</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1、</w:t>
      </w:r>
      <w:r>
        <w:rPr>
          <w:rFonts w:hint="eastAsia" w:ascii="Times New Roman" w:hAnsi="Times New Roman"/>
          <w:kern w:val="0"/>
          <w:sz w:val="24"/>
        </w:rPr>
        <w:t>双路输出，可以同时治疗2人。</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2、</w:t>
      </w:r>
      <w:r>
        <w:rPr>
          <w:rFonts w:hint="eastAsia" w:ascii="Times New Roman" w:hAnsi="Times New Roman"/>
          <w:kern w:val="0"/>
          <w:sz w:val="24"/>
        </w:rPr>
        <w:t>气导头单向脉动最大排气量≤9ml±20%。</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3、</w:t>
      </w:r>
      <w:r>
        <w:rPr>
          <w:rFonts w:hint="eastAsia" w:ascii="Times New Roman" w:hAnsi="Times New Roman"/>
          <w:kern w:val="0"/>
          <w:sz w:val="24"/>
        </w:rPr>
        <w:t>气导头单向脉动最大气压值≤15kPa。</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4、</w:t>
      </w:r>
      <w:r>
        <w:rPr>
          <w:rFonts w:hint="eastAsia" w:ascii="Times New Roman" w:hAnsi="Times New Roman"/>
          <w:kern w:val="0"/>
          <w:sz w:val="24"/>
        </w:rPr>
        <w:t>气导头气体脉动频率10次/min—120次/min，频率误差范围≤±15%。</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5、</w:t>
      </w:r>
      <w:r>
        <w:rPr>
          <w:rFonts w:hint="eastAsia" w:ascii="Times New Roman" w:hAnsi="Times New Roman"/>
          <w:kern w:val="0"/>
          <w:sz w:val="24"/>
        </w:rPr>
        <w:t>治疗时间：0～99分钟可调，定时误差范围≤±10%。</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6、</w:t>
      </w:r>
      <w:r>
        <w:rPr>
          <w:rFonts w:hint="eastAsia" w:ascii="Times New Roman" w:hAnsi="Times New Roman"/>
          <w:kern w:val="0"/>
          <w:sz w:val="24"/>
        </w:rPr>
        <w:t>气导头端头噪声应≤60dB。</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lang w:val="en-US" w:eastAsia="zh-CN"/>
        </w:rPr>
        <w:t>7、</w:t>
      </w:r>
      <w:r>
        <w:rPr>
          <w:rFonts w:hint="eastAsia" w:ascii="Times New Roman" w:hAnsi="Times New Roman"/>
          <w:kern w:val="0"/>
          <w:sz w:val="24"/>
        </w:rPr>
        <w:t>具有短路、过载保护，治疗结束有音乐提示。</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rPr>
        <w:t>8、LED数码管实时显示输出频率和时间。</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rPr>
        <w:t>9、智能控制脉冲气流产生正负压。</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val="en-US" w:eastAsia="zh-CN"/>
        </w:rPr>
      </w:pPr>
      <w:r>
        <w:rPr>
          <w:rFonts w:hint="eastAsia" w:ascii="Times New Roman" w:hAnsi="Times New Roman"/>
          <w:kern w:val="0"/>
          <w:sz w:val="24"/>
        </w:rPr>
        <w:t>10、采用按键式操作面板</w:t>
      </w:r>
      <w:r>
        <w:rPr>
          <w:rFonts w:hint="eastAsia" w:ascii="Times New Roman" w:hAnsi="Times New Roman"/>
          <w:kern w:val="0"/>
          <w:sz w:val="24"/>
          <w:lang w:eastAsia="zh-CN"/>
        </w:rPr>
        <w:t>。</w:t>
      </w:r>
    </w:p>
    <w:p>
      <w:pPr>
        <w:keepNext w:val="0"/>
        <w:keepLines w:val="0"/>
        <w:pageBreakBefore w:val="0"/>
        <w:widowControl w:val="0"/>
        <w:kinsoku/>
        <w:wordWrap/>
        <w:overflowPunct/>
        <w:topLinePunct w:val="0"/>
        <w:bidi w:val="0"/>
        <w:snapToGrid/>
        <w:spacing w:line="380" w:lineRule="exact"/>
        <w:textAlignment w:val="auto"/>
        <w:rPr>
          <w:rFonts w:ascii="Times New Roman" w:hAnsi="Times New Roman"/>
          <w:kern w:val="0"/>
          <w:sz w:val="24"/>
        </w:rPr>
      </w:pPr>
      <w:r>
        <w:rPr>
          <w:rFonts w:hint="eastAsia" w:ascii="Times New Roman" w:hAnsi="Times New Roman"/>
          <w:kern w:val="0"/>
          <w:sz w:val="24"/>
        </w:rPr>
        <w:t>11、安全性能符合GB9706.1--2007医用电气设备第一部分安全通用要求的规定。</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eastAsia="zh-CN"/>
        </w:rPr>
      </w:pPr>
      <w:r>
        <w:rPr>
          <w:rFonts w:hint="eastAsia" w:ascii="Times New Roman" w:hAnsi="Times New Roman"/>
          <w:kern w:val="0"/>
          <w:sz w:val="24"/>
        </w:rPr>
        <w:t>12、通过了EMC检测。</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b/>
          <w:bCs/>
          <w:kern w:val="0"/>
          <w:sz w:val="24"/>
          <w:lang w:val="en-US" w:eastAsia="zh-CN"/>
        </w:rPr>
      </w:pPr>
      <w:r>
        <w:rPr>
          <w:rFonts w:hint="eastAsia" w:ascii="Times New Roman" w:hAnsi="Times New Roman"/>
          <w:b/>
          <w:bCs/>
          <w:kern w:val="0"/>
          <w:sz w:val="24"/>
          <w:lang w:val="en-US" w:eastAsia="zh-CN"/>
        </w:rPr>
        <w:t xml:space="preserve">第03包  冷冻台、漂片仪 </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b/>
          <w:bCs/>
          <w:kern w:val="0"/>
          <w:sz w:val="24"/>
        </w:rPr>
      </w:pPr>
      <w:r>
        <w:rPr>
          <w:rFonts w:hint="eastAsia" w:ascii="Times New Roman" w:hAnsi="Times New Roman"/>
          <w:b/>
          <w:bCs/>
          <w:kern w:val="0"/>
          <w:sz w:val="24"/>
        </w:rPr>
        <w:t>冷冻台</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rPr>
        <w:t>1、冷台面积：≥354*354mm</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rPr>
        <w:t>2、电源电压：220V,50Hz</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rPr>
        <w:t>3、功率：≥120VA</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lang w:val="en-US" w:eastAsia="zh-CN"/>
        </w:rPr>
        <w:t>4</w:t>
      </w:r>
      <w:r>
        <w:rPr>
          <w:rFonts w:hint="eastAsia" w:ascii="Times New Roman" w:hAnsi="Times New Roman"/>
          <w:kern w:val="0"/>
          <w:sz w:val="24"/>
        </w:rPr>
        <w:t>、制冷温度设定范围：室温—零下20℃</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rPr>
      </w:pPr>
      <w:r>
        <w:rPr>
          <w:rFonts w:hint="eastAsia" w:ascii="Times New Roman" w:hAnsi="Times New Roman"/>
          <w:kern w:val="0"/>
          <w:sz w:val="24"/>
          <w:lang w:val="en-US" w:eastAsia="zh-CN"/>
        </w:rPr>
        <w:t>5</w:t>
      </w:r>
      <w:r>
        <w:rPr>
          <w:rFonts w:hint="eastAsia" w:ascii="Times New Roman" w:hAnsi="Times New Roman"/>
          <w:kern w:val="0"/>
          <w:sz w:val="24"/>
        </w:rPr>
        <w:t>、冷台尺寸：≥410*660*460mm</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b/>
          <w:bCs/>
          <w:kern w:val="0"/>
          <w:sz w:val="24"/>
          <w:lang w:eastAsia="zh-CN"/>
        </w:rPr>
      </w:pPr>
      <w:r>
        <w:rPr>
          <w:rFonts w:hint="eastAsia" w:ascii="Times New Roman" w:hAnsi="Times New Roman"/>
          <w:b/>
          <w:bCs/>
          <w:kern w:val="0"/>
          <w:sz w:val="24"/>
          <w:lang w:eastAsia="zh-CN"/>
        </w:rPr>
        <w:t>漂片仪</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1、仪器可以精确的控制温度，对切片后的组织标本进行拉直、平整和干燥。</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eastAsia="宋体"/>
          <w:kern w:val="0"/>
          <w:sz w:val="24"/>
          <w:lang w:val="en-US" w:eastAsia="zh-CN"/>
        </w:rPr>
      </w:pPr>
      <w:r>
        <w:rPr>
          <w:rFonts w:hint="eastAsia" w:ascii="Times New Roman" w:hAnsi="Times New Roman"/>
          <w:kern w:val="0"/>
          <w:sz w:val="24"/>
          <w:lang w:eastAsia="zh-CN"/>
        </w:rPr>
        <w:t>2、采用模块化设计，漂片、烘片、烤片三部分独立温度控制精确。</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3、漂片槽采用黑色的搪瓷聚合物，捞片时对比清楚。</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4、烘片槽采用瓦楞状设计，玻片呈60°斜角插入，同时可处理≥70块玻片。</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5、烤片室可容纳≥3个30-40片的染色架，也可同时放入≥2个250ml的烧杯融蜡，满足大批量工作需求。</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6、烤片室可根据温度设定不同的烤片时间，有声音报警。</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7、温控范围：漂片、烘片、烤片三部份均为常温—90℃可调，自动恒温。</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8、可连续工作时间无限制。</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9、漂片水槽容积：≥135mm×185mm×80mm。</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eastAsia="zh-CN"/>
        </w:rPr>
        <w:t>第</w:t>
      </w:r>
      <w:r>
        <w:rPr>
          <w:rFonts w:hint="eastAsia" w:ascii="宋体" w:hAnsi="宋体" w:eastAsia="宋体" w:cs="宋体"/>
          <w:b/>
          <w:color w:val="000000"/>
          <w:kern w:val="0"/>
          <w:sz w:val="24"/>
          <w:szCs w:val="24"/>
          <w:lang w:val="en-US" w:eastAsia="zh-CN"/>
        </w:rPr>
        <w:t xml:space="preserve">04包 </w:t>
      </w:r>
      <w:r>
        <w:rPr>
          <w:rFonts w:hint="eastAsia" w:ascii="宋体" w:hAnsi="宋体" w:cs="宋体"/>
          <w:b/>
          <w:color w:val="000000"/>
          <w:kern w:val="0"/>
          <w:sz w:val="24"/>
          <w:szCs w:val="24"/>
          <w:lang w:val="en-US" w:eastAsia="zh-CN"/>
        </w:rPr>
        <w:t xml:space="preserve"> </w:t>
      </w:r>
      <w:r>
        <w:rPr>
          <w:rFonts w:hint="eastAsia" w:ascii="宋体" w:hAnsi="宋体" w:eastAsia="宋体" w:cs="宋体"/>
          <w:b/>
          <w:color w:val="000000"/>
          <w:kern w:val="0"/>
          <w:sz w:val="24"/>
          <w:szCs w:val="24"/>
        </w:rPr>
        <w:t>电动康复床</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1、一键式床挡开启与闭合。</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2、手控盒、液晶触控显示屏两套操控系统。</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3、液晶触控显示屏能对床体高度、角度、背部、腿部、时间范围等进行操作及设置。</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4、一键回位功能使床体自动回位至原始状态。</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5、语音提示功能可根据训练环境自行选择开启与关闭。</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▲6、配有可折叠式护栏，高度≥350mm。</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7、单个电动推杆推力≥10000N。</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8、电动推杆数量≥4个。</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▲9、角度调节：</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9.1床面可调角度范围：-7°～82°；</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9.2、背部床板可调角度：0°～67°；</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9.3、大腿部床板可调角度范围：0°～48°；</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9.4、小腿部床板可调角度范围：0°～27°；</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▲10、床面垂直高升降度调节范围：520～750mm。</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▲11、操作速度和时间：</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11.1、电动康复床床板从水平至最大起立位置，运行时间≥30S。</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11.2、电动康复床的升降速度应控制在10mm/s～30mm/s之间，其他床板部件的调节时间应≤30s。</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11.3、时间设置范围0min～60/75min可调，步长5min，误差±2%，计时结束有提示音。</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12、绑带可移动，可拆缷床头、床尾架、床垫可拆。</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▲13、电动康复床在承载安全工作载荷时，其产生的噪声不应大于声压60dB(A)；</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14、电动起立床做升降和起立运动最大安全载荷≥180kg。</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b/>
          <w:bCs/>
          <w:kern w:val="0"/>
          <w:sz w:val="24"/>
          <w:lang w:eastAsia="zh-CN"/>
        </w:rPr>
      </w:pPr>
      <w:r>
        <w:rPr>
          <w:rFonts w:hint="eastAsia" w:ascii="Times New Roman" w:hAnsi="Times New Roman"/>
          <w:b/>
          <w:bCs/>
          <w:kern w:val="0"/>
          <w:sz w:val="24"/>
          <w:lang w:eastAsia="zh-CN"/>
        </w:rPr>
        <w:t>二、商务要求</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val="en-US" w:eastAsia="zh-CN"/>
        </w:rPr>
        <w:t>1、</w:t>
      </w:r>
      <w:r>
        <w:rPr>
          <w:rFonts w:hint="eastAsia" w:ascii="Times New Roman" w:hAnsi="Times New Roman"/>
          <w:kern w:val="0"/>
          <w:sz w:val="24"/>
          <w:lang w:eastAsia="zh-CN"/>
        </w:rPr>
        <w:t>签约地点及交货地点</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w:t>
      </w:r>
      <w:r>
        <w:rPr>
          <w:rFonts w:hint="eastAsia" w:ascii="Times New Roman" w:hAnsi="Times New Roman"/>
          <w:kern w:val="0"/>
          <w:sz w:val="24"/>
          <w:lang w:val="en-US" w:eastAsia="zh-CN"/>
        </w:rPr>
        <w:t>1</w:t>
      </w:r>
      <w:r>
        <w:rPr>
          <w:rFonts w:hint="eastAsia" w:ascii="Times New Roman" w:hAnsi="Times New Roman"/>
          <w:kern w:val="0"/>
          <w:sz w:val="24"/>
          <w:lang w:eastAsia="zh-CN"/>
        </w:rPr>
        <w:t>合同签约地点：三台县人民医院。</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1.2配送及安装地址：比选人指定地点。</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1.3交货期：签订合同后30日内。</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val="en-US" w:eastAsia="zh-CN"/>
        </w:rPr>
        <w:t>2、</w:t>
      </w:r>
      <w:r>
        <w:rPr>
          <w:rFonts w:hint="eastAsia" w:ascii="Times New Roman" w:hAnsi="Times New Roman"/>
          <w:kern w:val="0"/>
          <w:sz w:val="24"/>
          <w:lang w:eastAsia="zh-CN"/>
        </w:rPr>
        <w:t>质保期及售后服务要求</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2.1质保期：验收合格后，</w:t>
      </w:r>
      <w:r>
        <w:rPr>
          <w:rFonts w:hint="eastAsia" w:ascii="Times New Roman" w:hAnsi="Times New Roman"/>
          <w:kern w:val="0"/>
          <w:sz w:val="24"/>
          <w:lang w:val="en-US" w:eastAsia="zh-CN"/>
        </w:rPr>
        <w:t>01包</w:t>
      </w:r>
      <w:r>
        <w:rPr>
          <w:rFonts w:hint="eastAsia" w:ascii="Times New Roman" w:hAnsi="Times New Roman"/>
          <w:kern w:val="0"/>
          <w:sz w:val="24"/>
          <w:lang w:eastAsia="zh-CN"/>
        </w:rPr>
        <w:t>保修期≥</w:t>
      </w:r>
      <w:r>
        <w:rPr>
          <w:rFonts w:hint="eastAsia" w:ascii="Times New Roman" w:hAnsi="Times New Roman"/>
          <w:kern w:val="0"/>
          <w:sz w:val="24"/>
          <w:lang w:val="en-US" w:eastAsia="zh-CN"/>
        </w:rPr>
        <w:t>1</w:t>
      </w:r>
      <w:r>
        <w:rPr>
          <w:rFonts w:hint="eastAsia" w:ascii="Times New Roman" w:hAnsi="Times New Roman"/>
          <w:kern w:val="0"/>
          <w:sz w:val="24"/>
          <w:lang w:eastAsia="zh-CN"/>
        </w:rPr>
        <w:t>年；</w:t>
      </w:r>
      <w:r>
        <w:rPr>
          <w:rFonts w:hint="eastAsia" w:ascii="Times New Roman" w:hAnsi="Times New Roman"/>
          <w:kern w:val="0"/>
          <w:sz w:val="24"/>
          <w:lang w:val="en-US" w:eastAsia="zh-CN"/>
        </w:rPr>
        <w:t>02包</w:t>
      </w:r>
      <w:r>
        <w:rPr>
          <w:rFonts w:hint="eastAsia" w:ascii="Times New Roman" w:hAnsi="Times New Roman"/>
          <w:kern w:val="0"/>
          <w:sz w:val="24"/>
          <w:lang w:eastAsia="zh-CN"/>
        </w:rPr>
        <w:t>保修期≥</w:t>
      </w:r>
      <w:r>
        <w:rPr>
          <w:rFonts w:hint="eastAsia" w:ascii="Times New Roman" w:hAnsi="Times New Roman"/>
          <w:kern w:val="0"/>
          <w:sz w:val="24"/>
          <w:lang w:val="en-US" w:eastAsia="zh-CN"/>
        </w:rPr>
        <w:t>2</w:t>
      </w:r>
      <w:r>
        <w:rPr>
          <w:rFonts w:hint="eastAsia" w:ascii="Times New Roman" w:hAnsi="Times New Roman"/>
          <w:kern w:val="0"/>
          <w:sz w:val="24"/>
          <w:lang w:eastAsia="zh-CN"/>
        </w:rPr>
        <w:t>年；</w:t>
      </w:r>
      <w:r>
        <w:rPr>
          <w:rFonts w:hint="eastAsia" w:ascii="Times New Roman" w:hAnsi="Times New Roman"/>
          <w:kern w:val="0"/>
          <w:sz w:val="24"/>
          <w:lang w:val="en-US" w:eastAsia="zh-CN"/>
        </w:rPr>
        <w:t>03包</w:t>
      </w:r>
      <w:r>
        <w:rPr>
          <w:rFonts w:hint="eastAsia" w:ascii="Times New Roman" w:hAnsi="Times New Roman"/>
          <w:kern w:val="0"/>
          <w:sz w:val="24"/>
          <w:lang w:eastAsia="zh-CN"/>
        </w:rPr>
        <w:t>保修期≥</w:t>
      </w:r>
      <w:r>
        <w:rPr>
          <w:rFonts w:hint="eastAsia" w:ascii="Times New Roman" w:hAnsi="Times New Roman"/>
          <w:kern w:val="0"/>
          <w:sz w:val="24"/>
          <w:lang w:val="en-US" w:eastAsia="zh-CN"/>
        </w:rPr>
        <w:t>3</w:t>
      </w:r>
      <w:r>
        <w:rPr>
          <w:rFonts w:hint="eastAsia" w:ascii="Times New Roman" w:hAnsi="Times New Roman"/>
          <w:kern w:val="0"/>
          <w:sz w:val="24"/>
          <w:lang w:eastAsia="zh-CN"/>
        </w:rPr>
        <w:t>年；</w:t>
      </w:r>
      <w:r>
        <w:rPr>
          <w:rFonts w:hint="eastAsia" w:ascii="Times New Roman" w:hAnsi="Times New Roman"/>
          <w:kern w:val="0"/>
          <w:sz w:val="24"/>
          <w:lang w:val="en-US" w:eastAsia="zh-CN"/>
        </w:rPr>
        <w:t>04包</w:t>
      </w:r>
      <w:r>
        <w:rPr>
          <w:rFonts w:hint="eastAsia" w:ascii="Times New Roman" w:hAnsi="Times New Roman"/>
          <w:kern w:val="0"/>
          <w:sz w:val="24"/>
          <w:lang w:eastAsia="zh-CN"/>
        </w:rPr>
        <w:t>保修期≥</w:t>
      </w:r>
      <w:r>
        <w:rPr>
          <w:rFonts w:hint="eastAsia" w:ascii="Times New Roman" w:hAnsi="Times New Roman"/>
          <w:kern w:val="0"/>
          <w:sz w:val="24"/>
          <w:lang w:val="en-US" w:eastAsia="zh-CN"/>
        </w:rPr>
        <w:t>2</w:t>
      </w:r>
      <w:r>
        <w:rPr>
          <w:rFonts w:hint="eastAsia" w:ascii="Times New Roman" w:hAnsi="Times New Roman"/>
          <w:kern w:val="0"/>
          <w:sz w:val="24"/>
          <w:lang w:eastAsia="zh-CN"/>
        </w:rPr>
        <w:t>年；。</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2.2在质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2.3在设备使用期间，保证国内零配件送达时间不超过7天，进口零配件送达时间不超过20天。如果设备停产，其备件的供应期可达到8年及以上，并以优惠的价格提供该设备所需的维修零配件（在承诺书中标明零配件价格）。</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val="en-US" w:eastAsia="zh-CN"/>
        </w:rPr>
        <w:t>3、</w:t>
      </w:r>
      <w:r>
        <w:rPr>
          <w:rFonts w:hint="eastAsia" w:ascii="Times New Roman" w:hAnsi="Times New Roman"/>
          <w:kern w:val="0"/>
          <w:sz w:val="24"/>
          <w:lang w:eastAsia="zh-CN"/>
        </w:rPr>
        <w:t>付款方法和条件</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3.1货到安装验收合格1个月内付合同总价的70% ，验收合格半年后1个月内付合同总价的20% ，验收合格一年后1个月内付合同总价10% 。</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eastAsia="zh-CN"/>
        </w:rPr>
        <w:t>3.2付款方式：转账、电汇等非现金方式。</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val="en-US" w:eastAsia="zh-CN"/>
        </w:rPr>
        <w:t>4、</w:t>
      </w:r>
      <w:r>
        <w:rPr>
          <w:rFonts w:hint="eastAsia" w:ascii="Times New Roman" w:hAnsi="Times New Roman"/>
          <w:kern w:val="0"/>
          <w:sz w:val="24"/>
          <w:lang w:eastAsia="zh-CN"/>
        </w:rPr>
        <w:t>培训：负责设备安装、调试，确保正常运行，且负责操作人员的培训，直至操作人员对操作技术完全掌握为止，费用包含在总报价内。</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kern w:val="0"/>
          <w:sz w:val="24"/>
          <w:lang w:eastAsia="zh-CN"/>
        </w:rPr>
      </w:pPr>
      <w:r>
        <w:rPr>
          <w:rFonts w:hint="eastAsia" w:ascii="Times New Roman" w:hAnsi="Times New Roman"/>
          <w:kern w:val="0"/>
          <w:sz w:val="24"/>
          <w:lang w:val="en-US" w:eastAsia="zh-CN"/>
        </w:rPr>
        <w:t>5、</w:t>
      </w:r>
      <w:r>
        <w:rPr>
          <w:rFonts w:hint="eastAsia" w:ascii="Times New Roman" w:hAnsi="Times New Roman"/>
          <w:kern w:val="0"/>
          <w:sz w:val="24"/>
          <w:lang w:eastAsia="zh-CN"/>
        </w:rPr>
        <w:t>验收：按照比选文件服务要求、响应文件响应情况和国家、行业标准进行验收。</w:t>
      </w:r>
    </w:p>
    <w:p>
      <w:pPr>
        <w:keepNext w:val="0"/>
        <w:keepLines w:val="0"/>
        <w:pageBreakBefore w:val="0"/>
        <w:widowControl w:val="0"/>
        <w:kinsoku/>
        <w:wordWrap/>
        <w:overflowPunct/>
        <w:topLinePunct w:val="0"/>
        <w:bidi w:val="0"/>
        <w:snapToGrid/>
        <w:spacing w:line="380" w:lineRule="exact"/>
        <w:textAlignment w:val="auto"/>
        <w:rPr>
          <w:rFonts w:hint="eastAsia" w:ascii="Times New Roman" w:hAnsi="Times New Roman"/>
          <w:b/>
          <w:bCs/>
          <w:kern w:val="0"/>
          <w:sz w:val="24"/>
          <w:lang w:eastAsia="zh-CN"/>
        </w:rPr>
      </w:pPr>
      <w:r>
        <w:rPr>
          <w:rFonts w:hint="eastAsia" w:ascii="Times New Roman" w:hAnsi="Times New Roman"/>
          <w:b/>
          <w:bCs/>
          <w:kern w:val="0"/>
          <w:sz w:val="24"/>
          <w:lang w:eastAsia="zh-CN"/>
        </w:rPr>
        <w:t>▲注：所有包的商务要求均为实质性要求，负偏离将导致响应文件无效。</w:t>
      </w:r>
    </w:p>
    <w:p>
      <w:pPr>
        <w:rPr>
          <w:rFonts w:ascii="Times New Roman" w:hAnsi="Times New Roman"/>
          <w:sz w:val="36"/>
          <w:szCs w:val="36"/>
        </w:rPr>
      </w:pPr>
      <w:bookmarkStart w:id="10" w:name="_Toc52036325"/>
      <w:bookmarkStart w:id="11" w:name="_Toc520455383"/>
      <w:r>
        <w:rPr>
          <w:rFonts w:ascii="Times New Roman" w:hAnsi="Times New Roman"/>
          <w:sz w:val="36"/>
          <w:szCs w:val="36"/>
        </w:rPr>
        <w:br w:type="page"/>
      </w:r>
    </w:p>
    <w:p>
      <w:pPr>
        <w:pStyle w:val="4"/>
        <w:spacing w:before="0" w:after="0" w:line="360" w:lineRule="auto"/>
        <w:jc w:val="center"/>
        <w:rPr>
          <w:rFonts w:hint="eastAsia" w:ascii="Times New Roman" w:hAnsi="Times New Roman"/>
          <w:sz w:val="30"/>
          <w:szCs w:val="30"/>
        </w:rPr>
      </w:pPr>
      <w:r>
        <w:rPr>
          <w:rFonts w:hint="eastAsia" w:ascii="Times New Roman" w:hAnsi="Times New Roman"/>
          <w:sz w:val="30"/>
          <w:szCs w:val="30"/>
          <w:lang w:eastAsia="zh-CN"/>
        </w:rPr>
        <w:t>第三章</w:t>
      </w:r>
      <w:r>
        <w:rPr>
          <w:rFonts w:hint="eastAsia" w:ascii="Times New Roman" w:hAnsi="Times New Roman"/>
          <w:sz w:val="30"/>
          <w:szCs w:val="30"/>
          <w:lang w:val="en-US" w:eastAsia="zh-CN"/>
        </w:rPr>
        <w:t xml:space="preserve">  </w:t>
      </w:r>
      <w:r>
        <w:rPr>
          <w:rFonts w:ascii="Times New Roman" w:hAnsi="Times New Roman"/>
          <w:sz w:val="30"/>
          <w:szCs w:val="30"/>
        </w:rPr>
        <w:t>响应文件格式</w:t>
      </w:r>
      <w:bookmarkEnd w:id="10"/>
      <w:bookmarkEnd w:id="11"/>
      <w:r>
        <w:rPr>
          <w:rFonts w:hint="eastAsia" w:ascii="Times New Roman" w:hAnsi="Times New Roman"/>
          <w:sz w:val="30"/>
          <w:szCs w:val="30"/>
        </w:rPr>
        <w:t>和要求</w:t>
      </w:r>
    </w:p>
    <w:p>
      <w:pPr>
        <w:pStyle w:val="4"/>
        <w:keepNext/>
        <w:keepLines/>
        <w:pageBreakBefore w:val="0"/>
        <w:widowControl w:val="0"/>
        <w:numPr>
          <w:ilvl w:val="0"/>
          <w:numId w:val="0"/>
        </w:numPr>
        <w:kinsoku/>
        <w:wordWrap/>
        <w:overflowPunct/>
        <w:topLinePunct w:val="0"/>
        <w:autoSpaceDE/>
        <w:autoSpaceDN/>
        <w:bidi w:val="0"/>
        <w:adjustRightInd/>
        <w:snapToGrid w:val="0"/>
        <w:spacing w:before="0" w:after="0" w:line="380" w:lineRule="exact"/>
        <w:ind w:left="0"/>
        <w:jc w:val="both"/>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 xml:space="preserve">一、响应文件要求：响应文件需具有的资料(仅有但不限于) </w:t>
      </w:r>
    </w:p>
    <w:p>
      <w:pPr>
        <w:pageBreakBefore w:val="0"/>
        <w:kinsoku/>
        <w:wordWrap/>
        <w:overflowPunct/>
        <w:topLinePunct w:val="0"/>
        <w:bidi w:val="0"/>
        <w:snapToGrid w:val="0"/>
        <w:spacing w:line="380" w:lineRule="exact"/>
        <w:ind w:left="0"/>
        <w:jc w:val="left"/>
        <w:textAlignment w:val="auto"/>
        <w:rPr>
          <w:rFonts w:ascii="Times New Roman" w:hAnsi="Times New Roman" w:eastAsia="宋体" w:cs="Times New Roman"/>
          <w:b w:val="0"/>
          <w:bCs w:val="0"/>
          <w:color w:val="0D0D0D"/>
          <w:kern w:val="0"/>
          <w:sz w:val="24"/>
          <w:szCs w:val="24"/>
          <w:lang w:val="zh-CN" w:eastAsia="zh-CN" w:bidi="ar-SA"/>
        </w:rPr>
      </w:pPr>
      <w:r>
        <w:rPr>
          <w:rFonts w:hint="eastAsia" w:ascii="Times New Roman" w:hAnsi="Times New Roman" w:eastAsia="宋体" w:cs="Times New Roman"/>
          <w:b w:val="0"/>
          <w:bCs w:val="0"/>
          <w:color w:val="0D0D0D"/>
          <w:kern w:val="0"/>
          <w:sz w:val="24"/>
          <w:szCs w:val="24"/>
          <w:lang w:val="zh-CN" w:eastAsia="zh-CN" w:bidi="ar-SA"/>
        </w:rPr>
        <w:t>（一式两份，一正一副，封面注明包号和设备名称，报价为一次性报价。）</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pageBreakBefore w:val="0"/>
        <w:kinsoku/>
        <w:wordWrap/>
        <w:overflowPunct/>
        <w:topLinePunct w:val="0"/>
        <w:autoSpaceDE w:val="0"/>
        <w:autoSpaceDN w:val="0"/>
        <w:bidi w:val="0"/>
        <w:adjustRightInd w:val="0"/>
        <w:snapToGrid w:val="0"/>
        <w:spacing w:line="380" w:lineRule="exact"/>
        <w:ind w:left="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color w:val="0D0D0D"/>
          <w:kern w:val="0"/>
          <w:sz w:val="24"/>
          <w:lang w:val="zh-CN" w:eastAsia="zh-CN"/>
        </w:rPr>
        <w:t>。</w:t>
      </w:r>
    </w:p>
    <w:p>
      <w:pPr>
        <w:pageBreakBefore w:val="0"/>
        <w:kinsoku/>
        <w:wordWrap/>
        <w:overflowPunct/>
        <w:topLinePunct w:val="0"/>
        <w:bidi w:val="0"/>
        <w:snapToGrid w:val="0"/>
        <w:spacing w:line="380" w:lineRule="exact"/>
        <w:ind w:left="0"/>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val="0"/>
        <w:spacing w:line="380" w:lineRule="exact"/>
        <w:ind w:left="0"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bookmarkStart w:id="12"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 xml:space="preserve">第四章 </w:t>
      </w:r>
      <w:bookmarkEnd w:id="12"/>
      <w:r>
        <w:rPr>
          <w:rFonts w:hint="eastAsia" w:ascii="Times New Roman" w:hAnsi="Times New Roman"/>
          <w:b/>
          <w:bCs/>
          <w:color w:val="auto"/>
          <w:kern w:val="0"/>
          <w:sz w:val="32"/>
          <w:szCs w:val="32"/>
        </w:rPr>
        <w:t>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hint="eastAsia" w:ascii="宋体" w:hAnsi="宋体" w:eastAsia="宋体" w:cs="Times New Roman"/>
          <w:b/>
          <w:bCs/>
          <w:color w:val="auto"/>
          <w:kern w:val="2"/>
          <w:sz w:val="21"/>
          <w:szCs w:val="21"/>
          <w:lang w:val="en-US" w:eastAsia="zh-CN" w:bidi="ar-SA"/>
        </w:rPr>
      </w:pPr>
      <w:r>
        <w:rPr>
          <w:rFonts w:ascii="Times New Roman" w:hAnsi="Times New Roman"/>
          <w:b/>
          <w:bCs/>
          <w:color w:val="auto"/>
          <w:kern w:val="0"/>
          <w:sz w:val="24"/>
          <w:szCs w:val="20"/>
        </w:rPr>
        <w:t>综合评分明细表</w:t>
      </w:r>
    </w:p>
    <w:p>
      <w:pPr>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1</w:t>
      </w:r>
      <w:r>
        <w:rPr>
          <w:rFonts w:hint="eastAsia" w:ascii="宋体" w:hAnsi="宋体" w:eastAsia="宋体" w:cs="Times New Roman"/>
          <w:b/>
          <w:bCs/>
          <w:color w:val="auto"/>
          <w:kern w:val="2"/>
          <w:sz w:val="21"/>
          <w:szCs w:val="21"/>
          <w:lang w:val="en-US" w:eastAsia="zh-CN" w:bidi="ar-SA"/>
        </w:rPr>
        <w:t>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pStyle w:val="9"/>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9"/>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2</w:t>
      </w:r>
      <w:r>
        <w:rPr>
          <w:rFonts w:hint="eastAsia" w:ascii="宋体" w:hAnsi="宋体" w:eastAsia="宋体" w:cs="Times New Roman"/>
          <w:b/>
          <w:bCs/>
          <w:color w:val="auto"/>
          <w:kern w:val="2"/>
          <w:sz w:val="21"/>
          <w:szCs w:val="21"/>
          <w:lang w:val="en-US" w:eastAsia="zh-CN" w:bidi="ar-SA"/>
        </w:rPr>
        <w:t>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60</w:t>
            </w:r>
            <w:r>
              <w:rPr>
                <w:rFonts w:ascii="宋体" w:hAnsi="宋体"/>
                <w:color w:val="auto"/>
                <w:sz w:val="24"/>
                <w:szCs w:val="24"/>
              </w:rPr>
              <w:t>分；一条不满足</w:t>
            </w:r>
            <w:r>
              <w:rPr>
                <w:rFonts w:ascii="宋体" w:hAnsi="宋体"/>
                <w:color w:val="000000" w:themeColor="text1"/>
                <w:sz w:val="24"/>
                <w:szCs w:val="24"/>
                <w14:textFill>
                  <w14:solidFill>
                    <w14:schemeClr w14:val="tx1"/>
                  </w14:solidFill>
                </w14:textFill>
              </w:rPr>
              <w:t>扣</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分</w:t>
            </w:r>
            <w:r>
              <w:rPr>
                <w:rFonts w:ascii="宋体" w:hAnsi="宋体"/>
                <w:color w:val="auto"/>
                <w:sz w:val="24"/>
                <w:szCs w:val="24"/>
              </w:rPr>
              <w:t>（实质性要求除外），扣完为止。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9"/>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3</w:t>
      </w:r>
      <w:r>
        <w:rPr>
          <w:rFonts w:hint="eastAsia" w:ascii="宋体" w:hAnsi="宋体" w:eastAsia="宋体" w:cs="Times New Roman"/>
          <w:b/>
          <w:bCs/>
          <w:color w:val="auto"/>
          <w:kern w:val="2"/>
          <w:sz w:val="21"/>
          <w:szCs w:val="21"/>
          <w:lang w:val="en-US" w:eastAsia="zh-CN" w:bidi="ar-SA"/>
        </w:rPr>
        <w:t>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56</w:t>
            </w:r>
            <w:bookmarkStart w:id="54" w:name="_GoBack"/>
            <w:bookmarkEnd w:id="54"/>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56</w:t>
            </w:r>
            <w:r>
              <w:rPr>
                <w:rFonts w:ascii="宋体" w:hAnsi="宋体"/>
                <w:color w:val="auto"/>
                <w:sz w:val="24"/>
                <w:szCs w:val="24"/>
              </w:rPr>
              <w:t>分；一条不满足扣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8%</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8</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9"/>
        <w:rPr>
          <w:rFonts w:hint="eastAsia" w:ascii="宋体" w:hAnsi="宋体" w:eastAsia="宋体" w:cs="Times New Roman"/>
          <w:b/>
          <w:bCs/>
          <w:color w:val="auto"/>
          <w:kern w:val="2"/>
          <w:sz w:val="21"/>
          <w:szCs w:val="21"/>
          <w:lang w:val="en-US" w:eastAsia="zh-CN" w:bidi="ar-SA"/>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p>
      <w:pPr>
        <w:pStyle w:val="9"/>
        <w:rPr>
          <w:rFonts w:hint="default"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t>第0</w:t>
      </w:r>
      <w:r>
        <w:rPr>
          <w:rFonts w:hint="eastAsia" w:ascii="宋体" w:hAnsi="宋体" w:cs="Times New Roman"/>
          <w:b/>
          <w:bCs/>
          <w:color w:val="auto"/>
          <w:kern w:val="2"/>
          <w:sz w:val="21"/>
          <w:szCs w:val="21"/>
          <w:lang w:val="en-US" w:eastAsia="zh-CN" w:bidi="ar-SA"/>
        </w:rPr>
        <w:t>4</w:t>
      </w:r>
      <w:r>
        <w:rPr>
          <w:rFonts w:hint="eastAsia" w:ascii="宋体" w:hAnsi="宋体" w:eastAsia="宋体" w:cs="Times New Roman"/>
          <w:b/>
          <w:bCs/>
          <w:color w:val="auto"/>
          <w:kern w:val="2"/>
          <w:sz w:val="21"/>
          <w:szCs w:val="21"/>
          <w:lang w:val="en-US" w:eastAsia="zh-CN" w:bidi="ar-SA"/>
        </w:rPr>
        <w:t>包</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10</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3" w:name="_Toc52036326"/>
      <w:bookmarkStart w:id="14" w:name="_Toc33698132"/>
      <w:bookmarkStart w:id="15" w:name="_Toc33709793"/>
      <w:bookmarkStart w:id="16" w:name="_Toc40447267"/>
      <w:bookmarkStart w:id="17" w:name="_Toc34051805"/>
      <w:r>
        <w:rPr>
          <w:rFonts w:ascii="Times New Roman" w:hAnsi="Times New Roman" w:eastAsia="黑体"/>
          <w:b/>
          <w:kern w:val="0"/>
          <w:sz w:val="32"/>
          <w:szCs w:val="32"/>
        </w:rPr>
        <w:t>一、封面</w:t>
      </w:r>
      <w:bookmarkEnd w:id="13"/>
      <w:bookmarkEnd w:id="14"/>
      <w:bookmarkEnd w:id="15"/>
      <w:bookmarkEnd w:id="16"/>
      <w:bookmarkEnd w:id="17"/>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8" w:name="_Toc52036327"/>
      <w:bookmarkStart w:id="19" w:name="_Toc33698133"/>
      <w:bookmarkStart w:id="20" w:name="_Toc34051806"/>
      <w:bookmarkStart w:id="21" w:name="_Toc40447268"/>
      <w:bookmarkStart w:id="22" w:name="_Toc33709794"/>
      <w:r>
        <w:rPr>
          <w:rFonts w:ascii="Times New Roman" w:hAnsi="Times New Roman" w:eastAsia="黑体"/>
          <w:b/>
          <w:kern w:val="0"/>
          <w:sz w:val="32"/>
          <w:szCs w:val="32"/>
        </w:rPr>
        <w:t>二、法定代表人/单位负责人授权书</w:t>
      </w:r>
      <w:bookmarkEnd w:id="18"/>
      <w:bookmarkEnd w:id="19"/>
      <w:bookmarkEnd w:id="20"/>
      <w:bookmarkEnd w:id="21"/>
      <w:bookmarkEnd w:id="2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3" w:name="_Toc52036328"/>
      <w:bookmarkStart w:id="24" w:name="_Toc40447269"/>
      <w:bookmarkStart w:id="25" w:name="_Toc33698134"/>
      <w:bookmarkStart w:id="26" w:name="_Toc33709795"/>
      <w:bookmarkStart w:id="27" w:name="_Toc34051807"/>
      <w:r>
        <w:rPr>
          <w:rFonts w:ascii="Times New Roman" w:hAnsi="Times New Roman" w:eastAsia="黑体"/>
          <w:b/>
          <w:kern w:val="0"/>
          <w:sz w:val="32"/>
          <w:szCs w:val="32"/>
        </w:rPr>
        <w:t>三、承诺函</w:t>
      </w:r>
      <w:bookmarkEnd w:id="23"/>
      <w:bookmarkEnd w:id="24"/>
      <w:bookmarkEnd w:id="25"/>
      <w:bookmarkEnd w:id="26"/>
      <w:bookmarkEnd w:id="27"/>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8" w:name="_Toc40447270"/>
      <w:bookmarkStart w:id="29" w:name="_Toc52036329"/>
      <w:bookmarkStart w:id="30" w:name="_Toc33709796"/>
      <w:bookmarkStart w:id="31" w:name="_Toc33698135"/>
      <w:bookmarkStart w:id="32" w:name="_Toc34051808"/>
      <w:r>
        <w:rPr>
          <w:rFonts w:ascii="Times New Roman" w:hAnsi="Times New Roman" w:eastAsia="黑体"/>
          <w:b/>
          <w:kern w:val="0"/>
          <w:sz w:val="32"/>
          <w:szCs w:val="32"/>
        </w:rPr>
        <w:t>四、比选申请人、报价产品资格、资质性及其他类似效力要求的相关证明材料</w:t>
      </w:r>
      <w:bookmarkEnd w:id="28"/>
      <w:bookmarkEnd w:id="29"/>
      <w:bookmarkEnd w:id="30"/>
      <w:bookmarkEnd w:id="31"/>
      <w:bookmarkEnd w:id="32"/>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numPr>
          <w:ilvl w:val="0"/>
          <w:numId w:val="3"/>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比选申请人类似项目业绩一览表</w:t>
      </w:r>
    </w:p>
    <w:p>
      <w:pPr>
        <w:pStyle w:val="2"/>
        <w:numPr>
          <w:ilvl w:val="0"/>
          <w:numId w:val="0"/>
        </w:numPr>
        <w:ind w:leftChars="400"/>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3" w:name="_Toc307564880"/>
      <w:bookmarkStart w:id="34" w:name="_Toc436410129"/>
      <w:bookmarkStart w:id="35" w:name="_Toc436820890"/>
      <w:bookmarkStart w:id="36" w:name="_Toc436404120"/>
      <w:bookmarkStart w:id="37" w:name="_Toc436385992"/>
      <w:r>
        <w:rPr>
          <w:rFonts w:ascii="Times New Roman" w:hAnsi="Times New Roman"/>
          <w:kern w:val="0"/>
          <w:sz w:val="24"/>
          <w:szCs w:val="20"/>
        </w:rPr>
        <w:br w:type="page"/>
      </w:r>
      <w:bookmarkEnd w:id="33"/>
      <w:bookmarkEnd w:id="34"/>
      <w:bookmarkEnd w:id="35"/>
      <w:bookmarkEnd w:id="36"/>
      <w:bookmarkEnd w:id="37"/>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8" w:name="_Toc503987183"/>
      <w:bookmarkStart w:id="39" w:name="_Toc503987104"/>
      <w:bookmarkStart w:id="40" w:name="_Toc503986971"/>
      <w:bookmarkStart w:id="41" w:name="_Toc503986838"/>
      <w:bookmarkStart w:id="42" w:name="_Toc503987293"/>
      <w:bookmarkStart w:id="43"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4" w:name="_Toc34051809"/>
      <w:bookmarkStart w:id="45" w:name="_Toc40447271"/>
      <w:bookmarkStart w:id="46" w:name="_Toc52036330"/>
      <w:bookmarkStart w:id="47" w:name="_Toc33709797"/>
      <w:bookmarkStart w:id="48" w:name="_Toc33698136"/>
      <w:r>
        <w:rPr>
          <w:rFonts w:ascii="Times New Roman" w:hAnsi="Times New Roman" w:eastAsia="黑体"/>
          <w:b/>
          <w:kern w:val="0"/>
          <w:sz w:val="32"/>
          <w:szCs w:val="32"/>
        </w:rPr>
        <w:t>八、满足实质性要求承诺函</w:t>
      </w:r>
      <w:bookmarkEnd w:id="38"/>
      <w:bookmarkEnd w:id="39"/>
      <w:bookmarkEnd w:id="40"/>
      <w:bookmarkEnd w:id="41"/>
      <w:bookmarkEnd w:id="42"/>
      <w:bookmarkEnd w:id="43"/>
      <w:bookmarkEnd w:id="44"/>
      <w:bookmarkEnd w:id="45"/>
      <w:bookmarkEnd w:id="46"/>
      <w:bookmarkEnd w:id="47"/>
      <w:bookmarkEnd w:id="4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9" w:name="_Toc52036331"/>
      <w:bookmarkStart w:id="50" w:name="_Toc34051810"/>
      <w:bookmarkStart w:id="51" w:name="_Toc40447272"/>
      <w:bookmarkStart w:id="52" w:name="_Toc33698137"/>
      <w:bookmarkStart w:id="53" w:name="_Toc33709798"/>
      <w:r>
        <w:rPr>
          <w:rFonts w:ascii="Times New Roman" w:hAnsi="Times New Roman" w:eastAsia="黑体"/>
          <w:b/>
          <w:kern w:val="0"/>
          <w:sz w:val="32"/>
          <w:szCs w:val="32"/>
        </w:rPr>
        <w:t>九、知识产权承诺函</w:t>
      </w:r>
      <w:bookmarkEnd w:id="49"/>
      <w:bookmarkEnd w:id="50"/>
      <w:bookmarkEnd w:id="51"/>
      <w:bookmarkEnd w:id="52"/>
      <w:bookmarkEnd w:id="53"/>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702"/>
        <w:gridCol w:w="1340"/>
        <w:gridCol w:w="672"/>
        <w:gridCol w:w="1462"/>
        <w:gridCol w:w="1420"/>
        <w:gridCol w:w="1329"/>
        <w:gridCol w:w="1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85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78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9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top"/>
          </w:tcPr>
          <w:p>
            <w:pPr>
              <w:spacing w:line="360" w:lineRule="auto"/>
              <w:ind w:left="-105" w:leftChars="-50" w:right="-105" w:rightChars="-50"/>
              <w:jc w:val="left"/>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7" w:type="pct"/>
            <w:vAlign w:val="center"/>
          </w:tcPr>
          <w:p>
            <w:pPr>
              <w:spacing w:line="360" w:lineRule="auto"/>
              <w:ind w:left="-105" w:leftChars="-50" w:right="-105" w:rightChars="-50"/>
              <w:jc w:val="center"/>
              <w:rPr>
                <w:rFonts w:ascii="Times New Roman" w:hAnsi="Times New Roman"/>
                <w:sz w:val="24"/>
              </w:rPr>
            </w:pPr>
          </w:p>
        </w:tc>
        <w:tc>
          <w:tcPr>
            <w:tcW w:w="412"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858"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597"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ED3EC"/>
    <w:multiLevelType w:val="singleLevel"/>
    <w:tmpl w:val="13CED3EC"/>
    <w:lvl w:ilvl="0" w:tentative="0">
      <w:start w:val="2"/>
      <w:numFmt w:val="chineseCounting"/>
      <w:suff w:val="space"/>
      <w:lvlText w:val="第%1章"/>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5"/>
      <w:suff w:val="nothing"/>
      <w:lvlText w:val="%1.%2　"/>
      <w:lvlJc w:val="left"/>
      <w:pPr>
        <w:ind w:left="852" w:firstLine="0"/>
      </w:pPr>
      <w:rPr>
        <w:rFonts w:hint="eastAsia" w:ascii="宋体" w:hAnsi="宋体" w:eastAsia="宋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382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A6FBD4D"/>
    <w:multiLevelType w:val="singleLevel"/>
    <w:tmpl w:val="3A6FBD4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976CC"/>
    <w:rsid w:val="0060439E"/>
    <w:rsid w:val="006055D3"/>
    <w:rsid w:val="00667139"/>
    <w:rsid w:val="00711BA3"/>
    <w:rsid w:val="00726300"/>
    <w:rsid w:val="00790670"/>
    <w:rsid w:val="007A01C9"/>
    <w:rsid w:val="007A7156"/>
    <w:rsid w:val="007B6CE6"/>
    <w:rsid w:val="007C5657"/>
    <w:rsid w:val="007E17BF"/>
    <w:rsid w:val="007F0216"/>
    <w:rsid w:val="00865A13"/>
    <w:rsid w:val="008B144F"/>
    <w:rsid w:val="008D75D8"/>
    <w:rsid w:val="009049D8"/>
    <w:rsid w:val="00913048"/>
    <w:rsid w:val="00925A96"/>
    <w:rsid w:val="00927DF2"/>
    <w:rsid w:val="00935919"/>
    <w:rsid w:val="00964E3D"/>
    <w:rsid w:val="009D0EDD"/>
    <w:rsid w:val="009D3B27"/>
    <w:rsid w:val="00A2422E"/>
    <w:rsid w:val="00A53362"/>
    <w:rsid w:val="00AE2F1C"/>
    <w:rsid w:val="00B316F5"/>
    <w:rsid w:val="00B53FCB"/>
    <w:rsid w:val="00BA33DF"/>
    <w:rsid w:val="00C41F0F"/>
    <w:rsid w:val="00C84C99"/>
    <w:rsid w:val="00CA567C"/>
    <w:rsid w:val="00D97302"/>
    <w:rsid w:val="00DD4D9F"/>
    <w:rsid w:val="00EA233A"/>
    <w:rsid w:val="00F65A99"/>
    <w:rsid w:val="011E1FE4"/>
    <w:rsid w:val="012A0272"/>
    <w:rsid w:val="024325FD"/>
    <w:rsid w:val="02447828"/>
    <w:rsid w:val="047F0FEB"/>
    <w:rsid w:val="058F45E8"/>
    <w:rsid w:val="061F0F2E"/>
    <w:rsid w:val="0AFA5A96"/>
    <w:rsid w:val="0B52745A"/>
    <w:rsid w:val="0B7C7FA0"/>
    <w:rsid w:val="0B9F3D21"/>
    <w:rsid w:val="0BA61553"/>
    <w:rsid w:val="0C2661F0"/>
    <w:rsid w:val="0C3721AC"/>
    <w:rsid w:val="0C54739F"/>
    <w:rsid w:val="0E6D45AA"/>
    <w:rsid w:val="0E7616B1"/>
    <w:rsid w:val="0E7F1957"/>
    <w:rsid w:val="0F4C41C0"/>
    <w:rsid w:val="10DE52EC"/>
    <w:rsid w:val="10EA7A01"/>
    <w:rsid w:val="119B06CB"/>
    <w:rsid w:val="11A74797"/>
    <w:rsid w:val="13EC19A9"/>
    <w:rsid w:val="17122347"/>
    <w:rsid w:val="19716DB9"/>
    <w:rsid w:val="1E7C048A"/>
    <w:rsid w:val="1EFD1033"/>
    <w:rsid w:val="1F2324A2"/>
    <w:rsid w:val="1FAB4F33"/>
    <w:rsid w:val="1FDC6E9A"/>
    <w:rsid w:val="208A7365"/>
    <w:rsid w:val="20A2053B"/>
    <w:rsid w:val="20AF2801"/>
    <w:rsid w:val="2120725A"/>
    <w:rsid w:val="21333432"/>
    <w:rsid w:val="23101ECA"/>
    <w:rsid w:val="237E1533"/>
    <w:rsid w:val="23A022F3"/>
    <w:rsid w:val="23CC5D3D"/>
    <w:rsid w:val="23F70746"/>
    <w:rsid w:val="23FC3FAF"/>
    <w:rsid w:val="24F9229C"/>
    <w:rsid w:val="25054C8A"/>
    <w:rsid w:val="25366D3F"/>
    <w:rsid w:val="26C07516"/>
    <w:rsid w:val="27AA0124"/>
    <w:rsid w:val="27CB6172"/>
    <w:rsid w:val="297939AC"/>
    <w:rsid w:val="298A6368"/>
    <w:rsid w:val="29A7364C"/>
    <w:rsid w:val="29C8183E"/>
    <w:rsid w:val="29FA2D3E"/>
    <w:rsid w:val="2A092A55"/>
    <w:rsid w:val="2B0F2221"/>
    <w:rsid w:val="2B125E66"/>
    <w:rsid w:val="2B632B65"/>
    <w:rsid w:val="2CD522A4"/>
    <w:rsid w:val="2EA57459"/>
    <w:rsid w:val="2FB70420"/>
    <w:rsid w:val="3032417B"/>
    <w:rsid w:val="309A08B5"/>
    <w:rsid w:val="30E20AC4"/>
    <w:rsid w:val="320D55D9"/>
    <w:rsid w:val="33A012BC"/>
    <w:rsid w:val="33D16649"/>
    <w:rsid w:val="33DF7227"/>
    <w:rsid w:val="35CD1307"/>
    <w:rsid w:val="36263295"/>
    <w:rsid w:val="36B67FED"/>
    <w:rsid w:val="3790083E"/>
    <w:rsid w:val="38721E46"/>
    <w:rsid w:val="3A687760"/>
    <w:rsid w:val="3A793348"/>
    <w:rsid w:val="3AC151B3"/>
    <w:rsid w:val="3CD35A92"/>
    <w:rsid w:val="3DCB0822"/>
    <w:rsid w:val="3DF748FE"/>
    <w:rsid w:val="3E9230EE"/>
    <w:rsid w:val="3F3C2E21"/>
    <w:rsid w:val="3FDF05B5"/>
    <w:rsid w:val="40782A64"/>
    <w:rsid w:val="41EC6FB9"/>
    <w:rsid w:val="43AF4742"/>
    <w:rsid w:val="43DB5537"/>
    <w:rsid w:val="43EF2D90"/>
    <w:rsid w:val="45991AB8"/>
    <w:rsid w:val="45CA5863"/>
    <w:rsid w:val="46DC584E"/>
    <w:rsid w:val="48A30974"/>
    <w:rsid w:val="4956517A"/>
    <w:rsid w:val="4A4C4A99"/>
    <w:rsid w:val="4A6022F2"/>
    <w:rsid w:val="4B251C96"/>
    <w:rsid w:val="4BE36845"/>
    <w:rsid w:val="4C0F2222"/>
    <w:rsid w:val="4C2C6594"/>
    <w:rsid w:val="4D302450"/>
    <w:rsid w:val="4DF45E64"/>
    <w:rsid w:val="4E202280"/>
    <w:rsid w:val="4F6805AB"/>
    <w:rsid w:val="4FAF3489"/>
    <w:rsid w:val="52AB0BC5"/>
    <w:rsid w:val="5364037A"/>
    <w:rsid w:val="539354E6"/>
    <w:rsid w:val="544B2BC1"/>
    <w:rsid w:val="56D2538B"/>
    <w:rsid w:val="576C677A"/>
    <w:rsid w:val="57AD55CD"/>
    <w:rsid w:val="58BA1F78"/>
    <w:rsid w:val="59FD1365"/>
    <w:rsid w:val="5A805270"/>
    <w:rsid w:val="5AAD383C"/>
    <w:rsid w:val="5C626A3E"/>
    <w:rsid w:val="5D9A3915"/>
    <w:rsid w:val="5DF647C9"/>
    <w:rsid w:val="5F895ABF"/>
    <w:rsid w:val="5FA32F55"/>
    <w:rsid w:val="5FCD1D80"/>
    <w:rsid w:val="5FE62B1D"/>
    <w:rsid w:val="60E07C14"/>
    <w:rsid w:val="61ED495B"/>
    <w:rsid w:val="62347F26"/>
    <w:rsid w:val="62C74BDD"/>
    <w:rsid w:val="63A4373B"/>
    <w:rsid w:val="68B977C1"/>
    <w:rsid w:val="692F585A"/>
    <w:rsid w:val="69E4351C"/>
    <w:rsid w:val="6ACD70D8"/>
    <w:rsid w:val="6AD52003"/>
    <w:rsid w:val="6B2F7D93"/>
    <w:rsid w:val="6B63034A"/>
    <w:rsid w:val="6C320399"/>
    <w:rsid w:val="6C7E16F4"/>
    <w:rsid w:val="6CEA21C3"/>
    <w:rsid w:val="6D840ACD"/>
    <w:rsid w:val="6DE57B4B"/>
    <w:rsid w:val="6EAE6B68"/>
    <w:rsid w:val="6EBE7D7B"/>
    <w:rsid w:val="6F193762"/>
    <w:rsid w:val="6F833AC6"/>
    <w:rsid w:val="6F92269E"/>
    <w:rsid w:val="6FE264A0"/>
    <w:rsid w:val="6FE35CDC"/>
    <w:rsid w:val="70211D51"/>
    <w:rsid w:val="707F70C6"/>
    <w:rsid w:val="70F03B20"/>
    <w:rsid w:val="72B059E8"/>
    <w:rsid w:val="72DA6836"/>
    <w:rsid w:val="732C647B"/>
    <w:rsid w:val="73615547"/>
    <w:rsid w:val="747E0F4D"/>
    <w:rsid w:val="75041948"/>
    <w:rsid w:val="753366D1"/>
    <w:rsid w:val="75A56BBF"/>
    <w:rsid w:val="78F636EB"/>
    <w:rsid w:val="797B0CA9"/>
    <w:rsid w:val="79EE2BC7"/>
    <w:rsid w:val="7AB7598A"/>
    <w:rsid w:val="7AC573E4"/>
    <w:rsid w:val="7B971768"/>
    <w:rsid w:val="7C3F13C0"/>
    <w:rsid w:val="7CE04A49"/>
    <w:rsid w:val="7CEF7382"/>
    <w:rsid w:val="7CF46BC4"/>
    <w:rsid w:val="7D86120D"/>
    <w:rsid w:val="7EB42631"/>
    <w:rsid w:val="7F015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firstLine="420" w:firstLineChars="200"/>
    </w:pPr>
    <w:rPr>
      <w:rFonts w:eastAsia="仿宋_GB2312"/>
      <w:spacing w:val="15"/>
      <w:kern w:val="10"/>
      <w:sz w:val="24"/>
      <w:szCs w:val="24"/>
    </w:rPr>
  </w:style>
  <w:style w:type="paragraph" w:styleId="3">
    <w:name w:val="Body Text Indent"/>
    <w:basedOn w:val="1"/>
    <w:link w:val="53"/>
    <w:qFormat/>
    <w:uiPriority w:val="0"/>
    <w:pPr>
      <w:spacing w:after="120"/>
      <w:ind w:left="420" w:leftChars="200"/>
    </w:pPr>
    <w:rPr>
      <w:rFonts w:ascii="Times New Roman" w:hAnsi="Times New Roman"/>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9"/>
    <w:qFormat/>
    <w:uiPriority w:val="0"/>
    <w:pPr>
      <w:jc w:val="left"/>
    </w:pPr>
    <w:rPr>
      <w:rFonts w:ascii="Times New Roman" w:hAnsi="Times New Roman"/>
    </w:rPr>
  </w:style>
  <w:style w:type="paragraph" w:styleId="9">
    <w:name w:val="Body Text"/>
    <w:basedOn w:val="1"/>
    <w:next w:val="1"/>
    <w:link w:val="52"/>
    <w:qFormat/>
    <w:uiPriority w:val="0"/>
    <w:pPr>
      <w:spacing w:after="12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0"/>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4"/>
    <w:qFormat/>
    <w:uiPriority w:val="0"/>
    <w:rPr>
      <w:b/>
      <w:bCs/>
    </w:rPr>
  </w:style>
  <w:style w:type="paragraph" w:styleId="23">
    <w:name w:val="Body Text First Indent"/>
    <w:basedOn w:val="9"/>
    <w:qFormat/>
    <w:uiPriority w:val="0"/>
    <w:pPr>
      <w:spacing w:after="120"/>
      <w:ind w:firstLine="420" w:firstLineChars="100"/>
    </w:pPr>
    <w:rPr>
      <w:rFonts w:ascii="Calibri" w:hAnsi="Calibri" w:eastAsia="宋体"/>
      <w:kern w:val="2"/>
      <w:sz w:val="21"/>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4"/>
    <w:qFormat/>
    <w:uiPriority w:val="0"/>
    <w:rPr>
      <w:rFonts w:ascii="Calibri" w:hAnsi="Calibri"/>
      <w:b/>
      <w:bCs/>
      <w:kern w:val="44"/>
      <w:sz w:val="44"/>
      <w:szCs w:val="44"/>
    </w:rPr>
  </w:style>
  <w:style w:type="character" w:customStyle="1" w:styleId="32">
    <w:name w:val="标题 2 Char"/>
    <w:basedOn w:val="25"/>
    <w:link w:val="5"/>
    <w:qFormat/>
    <w:uiPriority w:val="0"/>
    <w:rPr>
      <w:rFonts w:ascii="Arial" w:hAnsi="Arial" w:eastAsia="黑体"/>
      <w:b/>
      <w:bCs/>
      <w:sz w:val="32"/>
      <w:szCs w:val="32"/>
    </w:rPr>
  </w:style>
  <w:style w:type="character" w:customStyle="1" w:styleId="33">
    <w:name w:val="标题 3 Char"/>
    <w:basedOn w:val="25"/>
    <w:link w:val="6"/>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3"/>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9"/>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8"/>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9"/>
    <w:qFormat/>
    <w:uiPriority w:val="0"/>
    <w:rPr>
      <w:rFonts w:ascii="Calibri" w:hAnsi="Calibri"/>
      <w:kern w:val="2"/>
      <w:sz w:val="21"/>
      <w:szCs w:val="24"/>
    </w:rPr>
  </w:style>
  <w:style w:type="character" w:customStyle="1" w:styleId="53">
    <w:name w:val="正文文本缩进 Char1"/>
    <w:basedOn w:val="25"/>
    <w:link w:val="3"/>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8"/>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一级条标题"/>
    <w:next w:val="76"/>
    <w:qFormat/>
    <w:uiPriority w:val="0"/>
    <w:pPr>
      <w:numPr>
        <w:ilvl w:val="1"/>
        <w:numId w:val="1"/>
      </w:numPr>
      <w:spacing w:beforeLines="50" w:afterLines="50"/>
      <w:ind w:left="426"/>
      <w:outlineLvl w:val="2"/>
    </w:pPr>
    <w:rPr>
      <w:rFonts w:ascii="黑体" w:hAnsi="Times New Roman" w:eastAsia="黑体" w:cs="Times New Roman"/>
      <w:sz w:val="21"/>
      <w:szCs w:val="21"/>
      <w:lang w:val="en-US" w:eastAsia="zh-CN" w:bidi="ar-SA"/>
    </w:rPr>
  </w:style>
  <w:style w:type="paragraph" w:customStyle="1" w:styleId="7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10030</Words>
  <Characters>10514</Characters>
  <Lines>102</Lines>
  <Paragraphs>28</Paragraphs>
  <TotalTime>14</TotalTime>
  <ScaleCrop>false</ScaleCrop>
  <LinksUpToDate>false</LinksUpToDate>
  <CharactersWithSpaces>12002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2023-08-08T09:55:38Z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BD4D87F3D29F4F2EA6B20F283D178D2E</vt:lpwstr>
  </property>
</Properties>
</file>