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23"/>
        <w:rPr>
          <w:rFonts w:hint="eastAsia" w:ascii="宋体" w:hAnsi="宋体" w:eastAsia="宋体" w:cs="宋体"/>
          <w:b/>
          <w:bCs/>
          <w:sz w:val="52"/>
          <w:szCs w:val="52"/>
          <w:lang w:eastAsia="zh-CN"/>
        </w:rPr>
      </w:pPr>
    </w:p>
    <w:p w14:paraId="39984311">
      <w:pPr>
        <w:pStyle w:val="23"/>
        <w:ind w:left="0" w:leftChars="0" w:firstLine="0" w:firstLineChars="0"/>
        <w:rPr>
          <w:rFonts w:hint="eastAsia" w:ascii="宋体" w:hAnsi="宋体" w:eastAsia="宋体" w:cs="宋体"/>
          <w:b/>
          <w:bCs/>
          <w:sz w:val="52"/>
          <w:szCs w:val="52"/>
          <w:lang w:eastAsia="zh-CN"/>
        </w:rPr>
      </w:pPr>
    </w:p>
    <w:p w14:paraId="46DFA15D">
      <w:pPr>
        <w:pStyle w:val="23"/>
        <w:ind w:left="0" w:leftChars="0" w:firstLine="0" w:firstLineChars="0"/>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1B878725">
      <w:pPr>
        <w:widowControl/>
        <w:shd w:val="clear" w:color="auto" w:fill="FFFFFF"/>
        <w:snapToGrid w:val="0"/>
        <w:spacing w:line="480" w:lineRule="auto"/>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公用WiFi服务</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38F04FD9">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23"/>
        <w:ind w:left="0" w:leftChars="0" w:firstLine="0" w:firstLineChars="0"/>
        <w:jc w:val="both"/>
        <w:rPr>
          <w:rFonts w:hint="eastAsia" w:ascii="宋体" w:hAnsi="宋体" w:eastAsia="宋体" w:cs="宋体"/>
          <w:b/>
          <w:bCs/>
          <w:sz w:val="52"/>
          <w:szCs w:val="52"/>
          <w:lang w:eastAsia="zh-CN"/>
        </w:rPr>
      </w:pPr>
    </w:p>
    <w:p w14:paraId="201BBCB1">
      <w:pPr>
        <w:pStyle w:val="23"/>
        <w:ind w:left="0" w:leftChars="0" w:firstLine="0" w:firstLineChars="0"/>
        <w:jc w:val="both"/>
        <w:rPr>
          <w:rFonts w:hint="eastAsia" w:ascii="宋体" w:hAnsi="宋体" w:eastAsia="宋体" w:cs="宋体"/>
          <w:b/>
          <w:bCs/>
          <w:sz w:val="52"/>
          <w:szCs w:val="52"/>
          <w:lang w:eastAsia="zh-CN"/>
        </w:rPr>
      </w:pPr>
    </w:p>
    <w:p w14:paraId="2F6F6738">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10</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12</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2"/>
        <w:rPr>
          <w:rFonts w:hint="eastAsia" w:ascii="宋体" w:hAnsi="宋体" w:eastAsia="宋体" w:cs="宋体"/>
          <w:b/>
          <w:bCs/>
          <w:sz w:val="30"/>
          <w:szCs w:val="30"/>
        </w:rPr>
      </w:pPr>
    </w:p>
    <w:p w14:paraId="47A63F02">
      <w:pPr>
        <w:pStyle w:val="80"/>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2"/>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3D22BF23">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公用WiFi服务</w:t>
      </w:r>
      <w:r>
        <w:rPr>
          <w:rFonts w:hint="eastAsia" w:ascii="Times New Roman" w:hAnsi="Times New Roman"/>
          <w:b/>
          <w:bCs/>
          <w:color w:val="000000" w:themeColor="text1"/>
          <w:sz w:val="32"/>
          <w:szCs w:val="32"/>
          <w14:textFill>
            <w14:solidFill>
              <w14:schemeClr w14:val="tx1"/>
            </w14:solidFill>
          </w14:textFill>
        </w:rPr>
        <w:t>的采购公告</w:t>
      </w:r>
    </w:p>
    <w:p w14:paraId="40A26D2B">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公用WiFi服务</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公用WiFi服务</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83"/>
        <w:gridCol w:w="748"/>
        <w:gridCol w:w="721"/>
        <w:gridCol w:w="1184"/>
        <w:gridCol w:w="3043"/>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1136"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产品</w:t>
            </w:r>
            <w:r>
              <w:rPr>
                <w:rFonts w:hint="eastAsia" w:ascii="宋体" w:hAnsi="宋体" w:eastAsia="宋体" w:cs="宋体"/>
                <w:b/>
                <w:color w:val="auto"/>
                <w:sz w:val="24"/>
                <w:szCs w:val="24"/>
              </w:rPr>
              <w:t>名称</w:t>
            </w:r>
          </w:p>
        </w:tc>
        <w:tc>
          <w:tcPr>
            <w:tcW w:w="451" w:type="pct"/>
            <w:tcBorders>
              <w:top w:val="single" w:color="auto" w:sz="4" w:space="0"/>
              <w:left w:val="single" w:color="auto" w:sz="4" w:space="0"/>
              <w:bottom w:val="single" w:color="auto" w:sz="4" w:space="0"/>
              <w:right w:val="single" w:color="auto" w:sz="4" w:space="0"/>
            </w:tcBorders>
            <w:vAlign w:val="center"/>
          </w:tcPr>
          <w:p w14:paraId="5F5F5CD3">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35"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714"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1835"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简述</w:t>
            </w:r>
          </w:p>
        </w:tc>
      </w:tr>
      <w:tr w14:paraId="79ED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restart"/>
            <w:tcBorders>
              <w:top w:val="single" w:color="auto" w:sz="4" w:space="0"/>
              <w:left w:val="single" w:color="auto" w:sz="4" w:space="0"/>
              <w:right w:val="single" w:color="auto" w:sz="4" w:space="0"/>
            </w:tcBorders>
            <w:vAlign w:val="center"/>
          </w:tcPr>
          <w:p w14:paraId="0258027D">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1136" w:type="pct"/>
            <w:tcBorders>
              <w:top w:val="single" w:color="auto" w:sz="4" w:space="0"/>
              <w:left w:val="single" w:color="auto" w:sz="4" w:space="0"/>
              <w:bottom w:val="single" w:color="auto" w:sz="4" w:space="0"/>
              <w:right w:val="single" w:color="auto" w:sz="4" w:space="0"/>
            </w:tcBorders>
            <w:vAlign w:val="center"/>
          </w:tcPr>
          <w:p w14:paraId="2A68DBE0">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rPr>
              <w:t>路由网关（集成AC）</w:t>
            </w:r>
          </w:p>
        </w:tc>
        <w:tc>
          <w:tcPr>
            <w:tcW w:w="451" w:type="pct"/>
            <w:tcBorders>
              <w:top w:val="single" w:color="auto" w:sz="4" w:space="0"/>
              <w:left w:val="single" w:color="auto" w:sz="4" w:space="0"/>
              <w:bottom w:val="single" w:color="auto" w:sz="4" w:space="0"/>
              <w:right w:val="single" w:color="auto" w:sz="4" w:space="0"/>
            </w:tcBorders>
            <w:vAlign w:val="center"/>
          </w:tcPr>
          <w:p w14:paraId="4BA9EA4D">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207806A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14" w:type="pct"/>
            <w:vMerge w:val="restart"/>
            <w:tcBorders>
              <w:left w:val="single" w:color="auto" w:sz="4" w:space="0"/>
              <w:right w:val="single" w:color="auto" w:sz="4" w:space="0"/>
            </w:tcBorders>
            <w:vAlign w:val="center"/>
          </w:tcPr>
          <w:p w14:paraId="63AB18A5">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18万元/年</w:t>
            </w:r>
          </w:p>
        </w:tc>
        <w:tc>
          <w:tcPr>
            <w:tcW w:w="1835" w:type="pct"/>
            <w:tcBorders>
              <w:left w:val="single" w:color="auto" w:sz="4" w:space="0"/>
              <w:right w:val="single" w:color="auto" w:sz="4" w:space="0"/>
            </w:tcBorders>
            <w:vAlign w:val="center"/>
          </w:tcPr>
          <w:p w14:paraId="70EF0231">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用于</w:t>
            </w:r>
            <w:r>
              <w:rPr>
                <w:rFonts w:hint="eastAsia" w:ascii="宋体" w:hAnsi="宋体" w:eastAsia="宋体" w:cs="宋体"/>
                <w:spacing w:val="-7"/>
                <w:sz w:val="24"/>
                <w:szCs w:val="24"/>
                <w:lang w:val="en-US" w:eastAsia="zh-CN"/>
              </w:rPr>
              <w:t>无线</w:t>
            </w:r>
            <w:r>
              <w:rPr>
                <w:rFonts w:hint="eastAsia" w:ascii="宋体" w:hAnsi="宋体" w:eastAsia="宋体" w:cs="宋体"/>
                <w:spacing w:val="-7"/>
                <w:sz w:val="24"/>
                <w:szCs w:val="24"/>
              </w:rPr>
              <w:t>组网、</w:t>
            </w:r>
            <w:r>
              <w:rPr>
                <w:rFonts w:hint="eastAsia" w:ascii="宋体" w:hAnsi="宋体" w:eastAsia="宋体" w:cs="宋体"/>
                <w:spacing w:val="-5"/>
                <w:sz w:val="24"/>
                <w:szCs w:val="24"/>
              </w:rPr>
              <w:t>AC控制、</w:t>
            </w:r>
            <w:r>
              <w:rPr>
                <w:rFonts w:hint="eastAsia" w:ascii="宋体" w:hAnsi="宋体" w:eastAsia="宋体" w:cs="宋体"/>
                <w:spacing w:val="-7"/>
                <w:sz w:val="24"/>
                <w:szCs w:val="24"/>
              </w:rPr>
              <w:t>WAN</w:t>
            </w:r>
            <w:r>
              <w:rPr>
                <w:rFonts w:hint="eastAsia" w:ascii="宋体" w:hAnsi="宋体" w:eastAsia="宋体" w:cs="宋体"/>
                <w:sz w:val="24"/>
                <w:szCs w:val="24"/>
              </w:rPr>
              <w:t xml:space="preserve"> </w:t>
            </w:r>
            <w:r>
              <w:rPr>
                <w:rFonts w:hint="eastAsia" w:ascii="宋体" w:hAnsi="宋体" w:eastAsia="宋体" w:cs="宋体"/>
                <w:spacing w:val="1"/>
                <w:sz w:val="24"/>
                <w:szCs w:val="24"/>
              </w:rPr>
              <w:t>接入、流量控制</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、上网行为管理</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5"/>
                <w:sz w:val="24"/>
                <w:szCs w:val="24"/>
              </w:rPr>
              <w:t>认证</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、防火墙</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、VPN应用</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lang w:eastAsia="zh-CN"/>
              </w:rPr>
              <w:t>。</w:t>
            </w:r>
          </w:p>
        </w:tc>
      </w:tr>
      <w:tr w14:paraId="45EB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continue"/>
            <w:tcBorders>
              <w:left w:val="single" w:color="auto" w:sz="4" w:space="0"/>
              <w:right w:val="single" w:color="auto" w:sz="4" w:space="0"/>
            </w:tcBorders>
            <w:vAlign w:val="center"/>
          </w:tcPr>
          <w:p w14:paraId="2CE78FA0">
            <w:pPr>
              <w:jc w:val="center"/>
              <w:rPr>
                <w:rFonts w:hint="eastAsia" w:ascii="宋体" w:hAnsi="宋体" w:eastAsia="宋体" w:cs="宋体"/>
                <w:color w:val="000000"/>
                <w:sz w:val="24"/>
                <w:szCs w:val="24"/>
                <w:lang w:val="en-US" w:eastAsia="zh-CN"/>
              </w:rPr>
            </w:pPr>
          </w:p>
        </w:tc>
        <w:tc>
          <w:tcPr>
            <w:tcW w:w="1136" w:type="pct"/>
            <w:tcBorders>
              <w:top w:val="single" w:color="auto" w:sz="4" w:space="0"/>
              <w:left w:val="single" w:color="auto" w:sz="4" w:space="0"/>
              <w:bottom w:val="single" w:color="auto" w:sz="4" w:space="0"/>
              <w:right w:val="single" w:color="auto" w:sz="4" w:space="0"/>
            </w:tcBorders>
            <w:vAlign w:val="center"/>
          </w:tcPr>
          <w:p w14:paraId="5F56887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吸顶式AP</w:t>
            </w:r>
          </w:p>
        </w:tc>
        <w:tc>
          <w:tcPr>
            <w:tcW w:w="451" w:type="pct"/>
            <w:tcBorders>
              <w:top w:val="single" w:color="auto" w:sz="4" w:space="0"/>
              <w:left w:val="single" w:color="auto" w:sz="4" w:space="0"/>
              <w:bottom w:val="single" w:color="auto" w:sz="4" w:space="0"/>
              <w:right w:val="single" w:color="auto" w:sz="4" w:space="0"/>
            </w:tcBorders>
            <w:vAlign w:val="center"/>
          </w:tcPr>
          <w:p w14:paraId="1EB8674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3AA6430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w:t>
            </w:r>
          </w:p>
        </w:tc>
        <w:tc>
          <w:tcPr>
            <w:tcW w:w="714" w:type="pct"/>
            <w:vMerge w:val="continue"/>
            <w:tcBorders>
              <w:left w:val="single" w:color="auto" w:sz="4" w:space="0"/>
              <w:right w:val="single" w:color="auto" w:sz="4" w:space="0"/>
            </w:tcBorders>
            <w:vAlign w:val="center"/>
          </w:tcPr>
          <w:p w14:paraId="38136989">
            <w:pPr>
              <w:jc w:val="center"/>
              <w:rPr>
                <w:rFonts w:hint="eastAsia" w:ascii="宋体" w:hAnsi="宋体" w:eastAsia="宋体" w:cs="宋体"/>
                <w:color w:val="auto"/>
                <w:sz w:val="24"/>
                <w:szCs w:val="24"/>
                <w:lang w:val="en-US" w:eastAsia="zh-CN"/>
              </w:rPr>
            </w:pPr>
          </w:p>
        </w:tc>
        <w:tc>
          <w:tcPr>
            <w:tcW w:w="1835" w:type="pct"/>
            <w:tcBorders>
              <w:left w:val="single" w:color="auto" w:sz="4" w:space="0"/>
              <w:right w:val="single" w:color="auto" w:sz="4" w:space="0"/>
            </w:tcBorders>
            <w:vAlign w:val="center"/>
          </w:tcPr>
          <w:p w14:paraId="08079814">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用于病区公共区域</w:t>
            </w:r>
            <w:r>
              <w:rPr>
                <w:rFonts w:hint="eastAsia" w:ascii="宋体" w:hAnsi="宋体" w:eastAsia="宋体" w:cs="宋体"/>
                <w:sz w:val="24"/>
                <w:szCs w:val="24"/>
              </w:rPr>
              <w:t>无线接入。</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continue"/>
            <w:tcBorders>
              <w:left w:val="single" w:color="auto" w:sz="4" w:space="0"/>
              <w:right w:val="single" w:color="auto" w:sz="4" w:space="0"/>
            </w:tcBorders>
            <w:vAlign w:val="center"/>
          </w:tcPr>
          <w:p w14:paraId="3108C35A">
            <w:pPr>
              <w:jc w:val="center"/>
              <w:rPr>
                <w:rFonts w:hint="eastAsia" w:ascii="宋体" w:hAnsi="宋体" w:eastAsia="宋体" w:cs="宋体"/>
                <w:color w:val="000000"/>
                <w:sz w:val="24"/>
                <w:szCs w:val="24"/>
                <w:lang w:val="en-US" w:eastAsia="zh-CN"/>
              </w:rPr>
            </w:pPr>
          </w:p>
        </w:tc>
        <w:tc>
          <w:tcPr>
            <w:tcW w:w="1136"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POE交换机</w:t>
            </w:r>
          </w:p>
        </w:tc>
        <w:tc>
          <w:tcPr>
            <w:tcW w:w="451"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14" w:type="pct"/>
            <w:vMerge w:val="continue"/>
            <w:tcBorders>
              <w:left w:val="single" w:color="auto" w:sz="4" w:space="0"/>
              <w:right w:val="single" w:color="auto" w:sz="4" w:space="0"/>
            </w:tcBorders>
            <w:vAlign w:val="center"/>
          </w:tcPr>
          <w:p w14:paraId="201E70BE">
            <w:pPr>
              <w:jc w:val="center"/>
              <w:rPr>
                <w:rFonts w:hint="eastAsia" w:ascii="宋体" w:hAnsi="宋体" w:eastAsia="宋体" w:cs="宋体"/>
                <w:color w:val="auto"/>
                <w:sz w:val="24"/>
                <w:szCs w:val="24"/>
                <w:lang w:val="en-US" w:eastAsia="zh-CN"/>
              </w:rPr>
            </w:pPr>
          </w:p>
        </w:tc>
        <w:tc>
          <w:tcPr>
            <w:tcW w:w="1835" w:type="pct"/>
            <w:tcBorders>
              <w:left w:val="single" w:color="auto" w:sz="4" w:space="0"/>
              <w:right w:val="single" w:color="auto" w:sz="4" w:space="0"/>
            </w:tcBorders>
            <w:vAlign w:val="center"/>
          </w:tcPr>
          <w:p w14:paraId="1C3D4B39">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用于</w:t>
            </w:r>
            <w:r>
              <w:rPr>
                <w:rStyle w:val="82"/>
                <w:rFonts w:hint="eastAsia" w:ascii="宋体" w:hAnsi="宋体" w:eastAsia="宋体" w:cs="宋体"/>
                <w:i w:val="0"/>
                <w:iCs w:val="0"/>
                <w:sz w:val="24"/>
                <w:szCs w:val="24"/>
                <w:lang w:val="en-US" w:eastAsia="zh-CN" w:bidi="ar"/>
              </w:rPr>
              <w:t>吸顶式AP</w:t>
            </w:r>
            <w:r>
              <w:rPr>
                <w:rFonts w:hint="eastAsia" w:ascii="宋体" w:hAnsi="宋体" w:eastAsia="宋体" w:cs="宋体"/>
                <w:sz w:val="24"/>
                <w:szCs w:val="24"/>
              </w:rPr>
              <w:t>数据高速转发</w:t>
            </w:r>
            <w:r>
              <w:rPr>
                <w:rFonts w:hint="eastAsia" w:ascii="宋体" w:hAnsi="宋体" w:eastAsia="宋体" w:cs="宋体"/>
                <w:sz w:val="24"/>
                <w:szCs w:val="24"/>
                <w:lang w:val="en-US" w:eastAsia="zh-CN"/>
              </w:rPr>
              <w:t>和供电。</w:t>
            </w:r>
          </w:p>
        </w:tc>
      </w:tr>
      <w:tr w14:paraId="3B4E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continue"/>
            <w:tcBorders>
              <w:left w:val="single" w:color="auto" w:sz="4" w:space="0"/>
              <w:bottom w:val="single" w:color="auto" w:sz="4" w:space="0"/>
              <w:right w:val="single" w:color="auto" w:sz="4" w:space="0"/>
            </w:tcBorders>
            <w:vAlign w:val="center"/>
          </w:tcPr>
          <w:p w14:paraId="0396B1C1">
            <w:pPr>
              <w:jc w:val="center"/>
              <w:rPr>
                <w:rFonts w:hint="eastAsia" w:ascii="宋体" w:hAnsi="宋体" w:eastAsia="宋体" w:cs="宋体"/>
                <w:color w:val="000000"/>
                <w:sz w:val="24"/>
                <w:szCs w:val="24"/>
                <w:lang w:val="en-US" w:eastAsia="zh-CN"/>
              </w:rPr>
            </w:pPr>
          </w:p>
        </w:tc>
        <w:tc>
          <w:tcPr>
            <w:tcW w:w="1136" w:type="pct"/>
            <w:tcBorders>
              <w:top w:val="single" w:color="auto" w:sz="4" w:space="0"/>
              <w:left w:val="single" w:color="auto" w:sz="4" w:space="0"/>
              <w:bottom w:val="single" w:color="auto" w:sz="4" w:space="0"/>
              <w:right w:val="single" w:color="auto" w:sz="4" w:space="0"/>
            </w:tcBorders>
            <w:vAlign w:val="center"/>
          </w:tcPr>
          <w:p w14:paraId="5C25FA83">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一体化ONU</w:t>
            </w:r>
          </w:p>
        </w:tc>
        <w:tc>
          <w:tcPr>
            <w:tcW w:w="451" w:type="pct"/>
            <w:tcBorders>
              <w:top w:val="single" w:color="auto" w:sz="4" w:space="0"/>
              <w:left w:val="single" w:color="auto" w:sz="4" w:space="0"/>
              <w:bottom w:val="single" w:color="auto" w:sz="4" w:space="0"/>
              <w:right w:val="single" w:color="auto" w:sz="4" w:space="0"/>
            </w:tcBorders>
            <w:vAlign w:val="center"/>
          </w:tcPr>
          <w:p w14:paraId="1D17930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6A72284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309</w:t>
            </w:r>
          </w:p>
        </w:tc>
        <w:tc>
          <w:tcPr>
            <w:tcW w:w="714" w:type="pct"/>
            <w:vMerge w:val="continue"/>
            <w:tcBorders>
              <w:left w:val="single" w:color="auto" w:sz="4" w:space="0"/>
              <w:right w:val="single" w:color="auto" w:sz="4" w:space="0"/>
            </w:tcBorders>
            <w:vAlign w:val="center"/>
          </w:tcPr>
          <w:p w14:paraId="27A4016A">
            <w:pPr>
              <w:jc w:val="center"/>
              <w:rPr>
                <w:rFonts w:hint="eastAsia" w:ascii="宋体" w:hAnsi="宋体" w:eastAsia="宋体" w:cs="宋体"/>
                <w:color w:val="auto"/>
                <w:sz w:val="24"/>
                <w:szCs w:val="24"/>
                <w:lang w:val="en-US" w:eastAsia="zh-CN"/>
              </w:rPr>
            </w:pPr>
          </w:p>
        </w:tc>
        <w:tc>
          <w:tcPr>
            <w:tcW w:w="1835" w:type="pct"/>
            <w:tcBorders>
              <w:left w:val="single" w:color="auto" w:sz="4" w:space="0"/>
              <w:right w:val="single" w:color="auto" w:sz="4" w:space="0"/>
            </w:tcBorders>
            <w:vAlign w:val="center"/>
          </w:tcPr>
          <w:p w14:paraId="5754D699">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用于病房无线接入。</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sz w:val="32"/>
          <w:szCs w:val="32"/>
          <w:lang w:val="en-US" w:eastAsia="zh-CN"/>
        </w:rPr>
        <w:t>公用WiFi服务</w:t>
      </w:r>
      <w:r>
        <w:rPr>
          <w:rFonts w:hint="eastAsia" w:ascii="Times New Roman" w:hAnsi="Times New Roman"/>
          <w:color w:val="auto"/>
          <w:sz w:val="32"/>
          <w:szCs w:val="32"/>
          <w:lang w:eastAsia="zh-CN"/>
        </w:rPr>
        <w:t>的比选文件</w:t>
      </w:r>
    </w:p>
    <w:p w14:paraId="00B5512A">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公用WiFi服务</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公用WiFi服务</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83"/>
        <w:gridCol w:w="748"/>
        <w:gridCol w:w="721"/>
        <w:gridCol w:w="1184"/>
        <w:gridCol w:w="3043"/>
      </w:tblGrid>
      <w:tr w14:paraId="2ED5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tcBorders>
              <w:top w:val="single" w:color="auto" w:sz="4" w:space="0"/>
              <w:left w:val="single" w:color="auto" w:sz="4" w:space="0"/>
              <w:bottom w:val="single" w:color="auto" w:sz="4" w:space="0"/>
              <w:right w:val="single" w:color="auto" w:sz="4" w:space="0"/>
            </w:tcBorders>
            <w:vAlign w:val="center"/>
          </w:tcPr>
          <w:p w14:paraId="41B1650E">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1136" w:type="pct"/>
            <w:tcBorders>
              <w:top w:val="single" w:color="auto" w:sz="4" w:space="0"/>
              <w:left w:val="single" w:color="auto" w:sz="4" w:space="0"/>
              <w:bottom w:val="single" w:color="auto" w:sz="4" w:space="0"/>
              <w:right w:val="single" w:color="auto" w:sz="4" w:space="0"/>
            </w:tcBorders>
            <w:vAlign w:val="center"/>
          </w:tcPr>
          <w:p w14:paraId="375CD3AD">
            <w:pPr>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val="en-US" w:eastAsia="zh-CN"/>
              </w:rPr>
              <w:t>产品</w:t>
            </w:r>
            <w:r>
              <w:rPr>
                <w:rFonts w:hint="eastAsia" w:ascii="宋体" w:hAnsi="宋体" w:eastAsia="宋体" w:cs="宋体"/>
                <w:b/>
                <w:color w:val="auto"/>
                <w:sz w:val="24"/>
                <w:szCs w:val="24"/>
              </w:rPr>
              <w:t>名称</w:t>
            </w:r>
          </w:p>
        </w:tc>
        <w:tc>
          <w:tcPr>
            <w:tcW w:w="451" w:type="pct"/>
            <w:tcBorders>
              <w:top w:val="single" w:color="auto" w:sz="4" w:space="0"/>
              <w:left w:val="single" w:color="auto" w:sz="4" w:space="0"/>
              <w:bottom w:val="single" w:color="auto" w:sz="4" w:space="0"/>
              <w:right w:val="single" w:color="auto" w:sz="4" w:space="0"/>
            </w:tcBorders>
            <w:vAlign w:val="center"/>
          </w:tcPr>
          <w:p w14:paraId="39CA8905">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35" w:type="pct"/>
            <w:tcBorders>
              <w:top w:val="single" w:color="auto" w:sz="4" w:space="0"/>
              <w:left w:val="single" w:color="auto" w:sz="4" w:space="0"/>
              <w:bottom w:val="single" w:color="auto" w:sz="4" w:space="0"/>
              <w:right w:val="single" w:color="auto" w:sz="4" w:space="0"/>
            </w:tcBorders>
            <w:vAlign w:val="center"/>
          </w:tcPr>
          <w:p w14:paraId="6AEBC0DD">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714" w:type="pct"/>
            <w:tcBorders>
              <w:top w:val="single" w:color="auto" w:sz="4" w:space="0"/>
              <w:left w:val="single" w:color="auto" w:sz="4" w:space="0"/>
              <w:bottom w:val="single" w:color="auto" w:sz="4" w:space="0"/>
              <w:right w:val="single" w:color="auto" w:sz="4" w:space="0"/>
            </w:tcBorders>
            <w:vAlign w:val="center"/>
          </w:tcPr>
          <w:p w14:paraId="19EA4B02">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1835" w:type="pct"/>
            <w:tcBorders>
              <w:top w:val="single" w:color="auto" w:sz="4" w:space="0"/>
              <w:left w:val="single" w:color="auto" w:sz="4" w:space="0"/>
              <w:bottom w:val="single" w:color="auto" w:sz="4" w:space="0"/>
              <w:right w:val="single" w:color="auto" w:sz="4" w:space="0"/>
            </w:tcBorders>
            <w:vAlign w:val="center"/>
          </w:tcPr>
          <w:p w14:paraId="461A4087">
            <w:pPr>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简述</w:t>
            </w:r>
          </w:p>
        </w:tc>
      </w:tr>
      <w:tr w14:paraId="559D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restart"/>
            <w:tcBorders>
              <w:top w:val="single" w:color="auto" w:sz="4" w:space="0"/>
              <w:left w:val="single" w:color="auto" w:sz="4" w:space="0"/>
              <w:right w:val="single" w:color="auto" w:sz="4" w:space="0"/>
            </w:tcBorders>
            <w:vAlign w:val="center"/>
          </w:tcPr>
          <w:p w14:paraId="6C48990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1136" w:type="pct"/>
            <w:tcBorders>
              <w:top w:val="single" w:color="auto" w:sz="4" w:space="0"/>
              <w:left w:val="single" w:color="auto" w:sz="4" w:space="0"/>
              <w:bottom w:val="single" w:color="auto" w:sz="4" w:space="0"/>
              <w:right w:val="single" w:color="auto" w:sz="4" w:space="0"/>
            </w:tcBorders>
            <w:vAlign w:val="center"/>
          </w:tcPr>
          <w:p w14:paraId="4AE6D2A6">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sz w:val="24"/>
                <w:szCs w:val="24"/>
                <w:lang w:val="en-US" w:eastAsia="zh-CN"/>
              </w:rPr>
              <w:t>路由网关（集成AC）</w:t>
            </w:r>
          </w:p>
        </w:tc>
        <w:tc>
          <w:tcPr>
            <w:tcW w:w="451" w:type="pct"/>
            <w:tcBorders>
              <w:top w:val="single" w:color="auto" w:sz="4" w:space="0"/>
              <w:left w:val="single" w:color="auto" w:sz="4" w:space="0"/>
              <w:bottom w:val="single" w:color="auto" w:sz="4" w:space="0"/>
              <w:right w:val="single" w:color="auto" w:sz="4" w:space="0"/>
            </w:tcBorders>
            <w:vAlign w:val="center"/>
          </w:tcPr>
          <w:p w14:paraId="65D3B54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7C7ED95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14" w:type="pct"/>
            <w:vMerge w:val="restart"/>
            <w:tcBorders>
              <w:left w:val="single" w:color="auto" w:sz="4" w:space="0"/>
              <w:right w:val="single" w:color="auto" w:sz="4" w:space="0"/>
            </w:tcBorders>
            <w:vAlign w:val="center"/>
          </w:tcPr>
          <w:p w14:paraId="0D4681C7">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18万元/年</w:t>
            </w:r>
          </w:p>
        </w:tc>
        <w:tc>
          <w:tcPr>
            <w:tcW w:w="1835" w:type="pct"/>
            <w:tcBorders>
              <w:left w:val="single" w:color="auto" w:sz="4" w:space="0"/>
              <w:right w:val="single" w:color="auto" w:sz="4" w:space="0"/>
            </w:tcBorders>
            <w:vAlign w:val="center"/>
          </w:tcPr>
          <w:p w14:paraId="2D337AD5">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用于</w:t>
            </w:r>
            <w:r>
              <w:rPr>
                <w:rFonts w:hint="eastAsia" w:ascii="宋体" w:hAnsi="宋体" w:eastAsia="宋体" w:cs="宋体"/>
                <w:spacing w:val="-7"/>
                <w:sz w:val="24"/>
                <w:szCs w:val="24"/>
                <w:lang w:val="en-US" w:eastAsia="zh-CN"/>
              </w:rPr>
              <w:t>无线</w:t>
            </w:r>
            <w:r>
              <w:rPr>
                <w:rFonts w:hint="eastAsia" w:ascii="宋体" w:hAnsi="宋体" w:eastAsia="宋体" w:cs="宋体"/>
                <w:spacing w:val="-7"/>
                <w:sz w:val="24"/>
                <w:szCs w:val="24"/>
              </w:rPr>
              <w:t>组网、</w:t>
            </w:r>
            <w:r>
              <w:rPr>
                <w:rFonts w:hint="eastAsia" w:ascii="宋体" w:hAnsi="宋体" w:eastAsia="宋体" w:cs="宋体"/>
                <w:spacing w:val="-5"/>
                <w:sz w:val="24"/>
                <w:szCs w:val="24"/>
              </w:rPr>
              <w:t>AC控制、</w:t>
            </w:r>
            <w:r>
              <w:rPr>
                <w:rFonts w:hint="eastAsia" w:ascii="宋体" w:hAnsi="宋体" w:eastAsia="宋体" w:cs="宋体"/>
                <w:spacing w:val="-7"/>
                <w:sz w:val="24"/>
                <w:szCs w:val="24"/>
              </w:rPr>
              <w:t>WAN</w:t>
            </w:r>
            <w:r>
              <w:rPr>
                <w:rFonts w:hint="eastAsia" w:ascii="宋体" w:hAnsi="宋体" w:eastAsia="宋体" w:cs="宋体"/>
                <w:sz w:val="24"/>
                <w:szCs w:val="24"/>
              </w:rPr>
              <w:t xml:space="preserve"> </w:t>
            </w:r>
            <w:r>
              <w:rPr>
                <w:rFonts w:hint="eastAsia" w:ascii="宋体" w:hAnsi="宋体" w:eastAsia="宋体" w:cs="宋体"/>
                <w:spacing w:val="1"/>
                <w:sz w:val="24"/>
                <w:szCs w:val="24"/>
              </w:rPr>
              <w:t>接入、流量控制</w:t>
            </w:r>
            <w:r>
              <w:rPr>
                <w:rFonts w:hint="eastAsia" w:ascii="宋体" w:hAnsi="宋体" w:eastAsia="宋体" w:cs="宋体"/>
                <w:spacing w:val="-29"/>
                <w:sz w:val="24"/>
                <w:szCs w:val="24"/>
              </w:rPr>
              <w:t xml:space="preserve"> </w:t>
            </w:r>
            <w:r>
              <w:rPr>
                <w:rFonts w:hint="eastAsia" w:ascii="宋体" w:hAnsi="宋体" w:eastAsia="宋体" w:cs="宋体"/>
                <w:spacing w:val="1"/>
                <w:sz w:val="24"/>
                <w:szCs w:val="24"/>
              </w:rPr>
              <w:t>、上网行为管理</w:t>
            </w:r>
            <w:r>
              <w:rPr>
                <w:rFonts w:hint="eastAsia" w:ascii="宋体" w:hAnsi="宋体" w:eastAsia="宋体" w:cs="宋体"/>
                <w:spacing w:val="-17"/>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5"/>
                <w:sz w:val="24"/>
                <w:szCs w:val="24"/>
              </w:rPr>
              <w:t>认证</w:t>
            </w:r>
            <w:r>
              <w:rPr>
                <w:rFonts w:hint="eastAsia" w:ascii="宋体" w:hAnsi="宋体" w:eastAsia="宋体" w:cs="宋体"/>
                <w:spacing w:val="-26"/>
                <w:sz w:val="24"/>
                <w:szCs w:val="24"/>
              </w:rPr>
              <w:t xml:space="preserve"> </w:t>
            </w:r>
            <w:r>
              <w:rPr>
                <w:rFonts w:hint="eastAsia" w:ascii="宋体" w:hAnsi="宋体" w:eastAsia="宋体" w:cs="宋体"/>
                <w:spacing w:val="-5"/>
                <w:sz w:val="24"/>
                <w:szCs w:val="24"/>
              </w:rPr>
              <w:t>、防火墙</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rPr>
              <w:t>、VPN应用</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lang w:eastAsia="zh-CN"/>
              </w:rPr>
              <w:t>。</w:t>
            </w:r>
          </w:p>
        </w:tc>
      </w:tr>
      <w:tr w14:paraId="1FBA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continue"/>
            <w:tcBorders>
              <w:left w:val="single" w:color="auto" w:sz="4" w:space="0"/>
              <w:right w:val="single" w:color="auto" w:sz="4" w:space="0"/>
            </w:tcBorders>
            <w:vAlign w:val="center"/>
          </w:tcPr>
          <w:p w14:paraId="11B4281E">
            <w:pPr>
              <w:jc w:val="center"/>
              <w:rPr>
                <w:rFonts w:hint="eastAsia" w:ascii="宋体" w:hAnsi="宋体" w:eastAsia="宋体" w:cs="宋体"/>
                <w:color w:val="000000"/>
                <w:sz w:val="24"/>
                <w:szCs w:val="24"/>
                <w:lang w:val="en-US" w:eastAsia="zh-CN"/>
              </w:rPr>
            </w:pPr>
          </w:p>
        </w:tc>
        <w:tc>
          <w:tcPr>
            <w:tcW w:w="1136" w:type="pct"/>
            <w:tcBorders>
              <w:top w:val="single" w:color="auto" w:sz="4" w:space="0"/>
              <w:left w:val="single" w:color="auto" w:sz="4" w:space="0"/>
              <w:bottom w:val="single" w:color="auto" w:sz="4" w:space="0"/>
              <w:right w:val="single" w:color="auto" w:sz="4" w:space="0"/>
            </w:tcBorders>
            <w:vAlign w:val="center"/>
          </w:tcPr>
          <w:p w14:paraId="19460D2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吸顶式AP</w:t>
            </w:r>
          </w:p>
        </w:tc>
        <w:tc>
          <w:tcPr>
            <w:tcW w:w="451" w:type="pct"/>
            <w:tcBorders>
              <w:top w:val="single" w:color="auto" w:sz="4" w:space="0"/>
              <w:left w:val="single" w:color="auto" w:sz="4" w:space="0"/>
              <w:bottom w:val="single" w:color="auto" w:sz="4" w:space="0"/>
              <w:right w:val="single" w:color="auto" w:sz="4" w:space="0"/>
            </w:tcBorders>
            <w:vAlign w:val="center"/>
          </w:tcPr>
          <w:p w14:paraId="456BF9F8">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21BEACB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w:t>
            </w:r>
          </w:p>
        </w:tc>
        <w:tc>
          <w:tcPr>
            <w:tcW w:w="714" w:type="pct"/>
            <w:vMerge w:val="continue"/>
            <w:tcBorders>
              <w:left w:val="single" w:color="auto" w:sz="4" w:space="0"/>
              <w:right w:val="single" w:color="auto" w:sz="4" w:space="0"/>
            </w:tcBorders>
            <w:vAlign w:val="center"/>
          </w:tcPr>
          <w:p w14:paraId="2DF8EF1C">
            <w:pPr>
              <w:jc w:val="center"/>
              <w:rPr>
                <w:rFonts w:hint="eastAsia" w:ascii="宋体" w:hAnsi="宋体" w:eastAsia="宋体" w:cs="宋体"/>
                <w:color w:val="auto"/>
                <w:sz w:val="24"/>
                <w:szCs w:val="24"/>
                <w:lang w:val="en-US" w:eastAsia="zh-CN"/>
              </w:rPr>
            </w:pPr>
          </w:p>
        </w:tc>
        <w:tc>
          <w:tcPr>
            <w:tcW w:w="1835" w:type="pct"/>
            <w:tcBorders>
              <w:left w:val="single" w:color="auto" w:sz="4" w:space="0"/>
              <w:right w:val="single" w:color="auto" w:sz="4" w:space="0"/>
            </w:tcBorders>
            <w:vAlign w:val="center"/>
          </w:tcPr>
          <w:p w14:paraId="73DCF6E1">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用于病区公共区域</w:t>
            </w:r>
            <w:r>
              <w:rPr>
                <w:rFonts w:hint="eastAsia" w:ascii="宋体" w:hAnsi="宋体" w:eastAsia="宋体" w:cs="宋体"/>
                <w:sz w:val="24"/>
                <w:szCs w:val="24"/>
              </w:rPr>
              <w:t>无线接入。</w:t>
            </w:r>
          </w:p>
        </w:tc>
      </w:tr>
      <w:tr w14:paraId="48EE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continue"/>
            <w:tcBorders>
              <w:left w:val="single" w:color="auto" w:sz="4" w:space="0"/>
              <w:right w:val="single" w:color="auto" w:sz="4" w:space="0"/>
            </w:tcBorders>
            <w:vAlign w:val="center"/>
          </w:tcPr>
          <w:p w14:paraId="6584DD88">
            <w:pPr>
              <w:jc w:val="center"/>
              <w:rPr>
                <w:rFonts w:hint="eastAsia" w:ascii="宋体" w:hAnsi="宋体" w:eastAsia="宋体" w:cs="宋体"/>
                <w:color w:val="000000"/>
                <w:sz w:val="24"/>
                <w:szCs w:val="24"/>
                <w:lang w:val="en-US" w:eastAsia="zh-CN"/>
              </w:rPr>
            </w:pPr>
          </w:p>
        </w:tc>
        <w:tc>
          <w:tcPr>
            <w:tcW w:w="1136" w:type="pct"/>
            <w:tcBorders>
              <w:top w:val="single" w:color="auto" w:sz="4" w:space="0"/>
              <w:left w:val="single" w:color="auto" w:sz="4" w:space="0"/>
              <w:bottom w:val="single" w:color="auto" w:sz="4" w:space="0"/>
              <w:right w:val="single" w:color="auto" w:sz="4" w:space="0"/>
            </w:tcBorders>
            <w:vAlign w:val="center"/>
          </w:tcPr>
          <w:p w14:paraId="3FB673B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POE交换机</w:t>
            </w:r>
          </w:p>
        </w:tc>
        <w:tc>
          <w:tcPr>
            <w:tcW w:w="451" w:type="pct"/>
            <w:tcBorders>
              <w:top w:val="single" w:color="auto" w:sz="4" w:space="0"/>
              <w:left w:val="single" w:color="auto" w:sz="4" w:space="0"/>
              <w:bottom w:val="single" w:color="auto" w:sz="4" w:space="0"/>
              <w:right w:val="single" w:color="auto" w:sz="4" w:space="0"/>
            </w:tcBorders>
            <w:vAlign w:val="center"/>
          </w:tcPr>
          <w:p w14:paraId="0461FC97">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6F8933F9">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714" w:type="pct"/>
            <w:vMerge w:val="continue"/>
            <w:tcBorders>
              <w:left w:val="single" w:color="auto" w:sz="4" w:space="0"/>
              <w:right w:val="single" w:color="auto" w:sz="4" w:space="0"/>
            </w:tcBorders>
            <w:vAlign w:val="center"/>
          </w:tcPr>
          <w:p w14:paraId="16CF031C">
            <w:pPr>
              <w:jc w:val="center"/>
              <w:rPr>
                <w:rFonts w:hint="eastAsia" w:ascii="宋体" w:hAnsi="宋体" w:eastAsia="宋体" w:cs="宋体"/>
                <w:color w:val="auto"/>
                <w:sz w:val="24"/>
                <w:szCs w:val="24"/>
                <w:lang w:val="en-US" w:eastAsia="zh-CN"/>
              </w:rPr>
            </w:pPr>
          </w:p>
        </w:tc>
        <w:tc>
          <w:tcPr>
            <w:tcW w:w="1835" w:type="pct"/>
            <w:tcBorders>
              <w:left w:val="single" w:color="auto" w:sz="4" w:space="0"/>
              <w:right w:val="single" w:color="auto" w:sz="4" w:space="0"/>
            </w:tcBorders>
            <w:vAlign w:val="center"/>
          </w:tcPr>
          <w:p w14:paraId="237A1938">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用于</w:t>
            </w:r>
            <w:r>
              <w:rPr>
                <w:rStyle w:val="82"/>
                <w:rFonts w:hint="eastAsia" w:ascii="宋体" w:hAnsi="宋体" w:eastAsia="宋体" w:cs="宋体"/>
                <w:i w:val="0"/>
                <w:iCs w:val="0"/>
                <w:sz w:val="24"/>
                <w:szCs w:val="24"/>
                <w:lang w:val="en-US" w:eastAsia="zh-CN" w:bidi="ar"/>
              </w:rPr>
              <w:t>吸顶式AP</w:t>
            </w:r>
            <w:r>
              <w:rPr>
                <w:rFonts w:hint="eastAsia" w:ascii="宋体" w:hAnsi="宋体" w:eastAsia="宋体" w:cs="宋体"/>
                <w:sz w:val="24"/>
                <w:szCs w:val="24"/>
              </w:rPr>
              <w:t>数据高速转发</w:t>
            </w:r>
            <w:r>
              <w:rPr>
                <w:rFonts w:hint="eastAsia" w:ascii="宋体" w:hAnsi="宋体" w:eastAsia="宋体" w:cs="宋体"/>
                <w:sz w:val="24"/>
                <w:szCs w:val="24"/>
                <w:lang w:val="en-US" w:eastAsia="zh-CN"/>
              </w:rPr>
              <w:t>和供电。</w:t>
            </w:r>
          </w:p>
        </w:tc>
      </w:tr>
      <w:tr w14:paraId="70A6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7" w:type="pct"/>
            <w:vMerge w:val="continue"/>
            <w:tcBorders>
              <w:left w:val="single" w:color="auto" w:sz="4" w:space="0"/>
              <w:bottom w:val="single" w:color="auto" w:sz="4" w:space="0"/>
              <w:right w:val="single" w:color="auto" w:sz="4" w:space="0"/>
            </w:tcBorders>
            <w:vAlign w:val="center"/>
          </w:tcPr>
          <w:p w14:paraId="1F2871A6">
            <w:pPr>
              <w:jc w:val="center"/>
              <w:rPr>
                <w:rFonts w:hint="eastAsia" w:ascii="宋体" w:hAnsi="宋体" w:eastAsia="宋体" w:cs="宋体"/>
                <w:color w:val="000000"/>
                <w:sz w:val="24"/>
                <w:szCs w:val="24"/>
                <w:lang w:val="en-US" w:eastAsia="zh-CN"/>
              </w:rPr>
            </w:pPr>
          </w:p>
        </w:tc>
        <w:tc>
          <w:tcPr>
            <w:tcW w:w="1136" w:type="pct"/>
            <w:tcBorders>
              <w:top w:val="single" w:color="auto" w:sz="4" w:space="0"/>
              <w:left w:val="single" w:color="auto" w:sz="4" w:space="0"/>
              <w:bottom w:val="single" w:color="auto" w:sz="4" w:space="0"/>
              <w:right w:val="single" w:color="auto" w:sz="4" w:space="0"/>
            </w:tcBorders>
            <w:vAlign w:val="center"/>
          </w:tcPr>
          <w:p w14:paraId="50ECAC7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一体化ONU</w:t>
            </w:r>
          </w:p>
        </w:tc>
        <w:tc>
          <w:tcPr>
            <w:tcW w:w="451" w:type="pct"/>
            <w:tcBorders>
              <w:top w:val="single" w:color="auto" w:sz="4" w:space="0"/>
              <w:left w:val="single" w:color="auto" w:sz="4" w:space="0"/>
              <w:bottom w:val="single" w:color="auto" w:sz="4" w:space="0"/>
              <w:right w:val="single" w:color="auto" w:sz="4" w:space="0"/>
            </w:tcBorders>
            <w:vAlign w:val="center"/>
          </w:tcPr>
          <w:p w14:paraId="421958C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435" w:type="pct"/>
            <w:tcBorders>
              <w:top w:val="single" w:color="auto" w:sz="4" w:space="0"/>
              <w:left w:val="single" w:color="auto" w:sz="4" w:space="0"/>
              <w:bottom w:val="single" w:color="auto" w:sz="4" w:space="0"/>
              <w:right w:val="single" w:color="auto" w:sz="4" w:space="0"/>
            </w:tcBorders>
            <w:vAlign w:val="center"/>
          </w:tcPr>
          <w:p w14:paraId="7FB2350F">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309</w:t>
            </w:r>
          </w:p>
        </w:tc>
        <w:tc>
          <w:tcPr>
            <w:tcW w:w="714" w:type="pct"/>
            <w:vMerge w:val="continue"/>
            <w:tcBorders>
              <w:left w:val="single" w:color="auto" w:sz="4" w:space="0"/>
              <w:right w:val="single" w:color="auto" w:sz="4" w:space="0"/>
            </w:tcBorders>
            <w:vAlign w:val="center"/>
          </w:tcPr>
          <w:p w14:paraId="6253EDD2">
            <w:pPr>
              <w:jc w:val="center"/>
              <w:rPr>
                <w:rFonts w:hint="eastAsia" w:ascii="宋体" w:hAnsi="宋体" w:eastAsia="宋体" w:cs="宋体"/>
                <w:color w:val="auto"/>
                <w:sz w:val="24"/>
                <w:szCs w:val="24"/>
                <w:lang w:val="en-US" w:eastAsia="zh-CN"/>
              </w:rPr>
            </w:pPr>
          </w:p>
        </w:tc>
        <w:tc>
          <w:tcPr>
            <w:tcW w:w="1835" w:type="pct"/>
            <w:tcBorders>
              <w:left w:val="single" w:color="auto" w:sz="4" w:space="0"/>
              <w:right w:val="single" w:color="auto" w:sz="4" w:space="0"/>
            </w:tcBorders>
            <w:vAlign w:val="center"/>
          </w:tcPr>
          <w:p w14:paraId="127E3963">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用于病房无线接入。</w:t>
            </w:r>
          </w:p>
        </w:tc>
      </w:tr>
    </w:tbl>
    <w:p w14:paraId="538F223F">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E0A12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4FF5D9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4292DE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B1CA0D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2CEBB11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2C014AE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6B3054A7">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r>
        <w:rPr>
          <w:rFonts w:hint="eastAsia" w:ascii="Times New Roman" w:hAnsi="Times New Roman"/>
          <w:kern w:val="0"/>
          <w:sz w:val="24"/>
          <w:szCs w:val="24"/>
        </w:rPr>
        <w:t>。</w:t>
      </w:r>
    </w:p>
    <w:p w14:paraId="409F90E0">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CE708B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C5D4B3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453F2D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2822D06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60F0AC6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57F2F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32B1C8E4">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4099A34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14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F3549F1">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10</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D070F54">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2DD2F209">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sz w:val="24"/>
          <w:szCs w:val="24"/>
        </w:rPr>
        <w:t>年</w:t>
      </w:r>
      <w:r>
        <w:rPr>
          <w:rFonts w:hint="eastAsia" w:ascii="Times New Roman" w:hAnsi="Times New Roman"/>
          <w:b w:val="0"/>
          <w:bCs/>
          <w:color w:val="auto"/>
          <w:sz w:val="24"/>
          <w:szCs w:val="24"/>
          <w:lang w:val="en-US" w:eastAsia="zh-CN"/>
        </w:rPr>
        <w:t>10</w:t>
      </w:r>
      <w:r>
        <w:rPr>
          <w:rFonts w:ascii="Times New Roman" w:hAnsi="Times New Roman"/>
          <w:b w:val="0"/>
          <w:bCs/>
          <w:color w:val="auto"/>
          <w:sz w:val="24"/>
          <w:szCs w:val="24"/>
        </w:rPr>
        <w:t>月</w:t>
      </w:r>
      <w:r>
        <w:rPr>
          <w:rFonts w:hint="eastAsia" w:ascii="Times New Roman" w:hAnsi="Times New Roman"/>
          <w:b w:val="0"/>
          <w:bCs/>
          <w:color w:val="auto"/>
          <w:sz w:val="24"/>
          <w:szCs w:val="24"/>
          <w:lang w:val="en-US" w:eastAsia="zh-CN"/>
        </w:rPr>
        <w:t>21</w:t>
      </w:r>
      <w:r>
        <w:rPr>
          <w:rFonts w:ascii="Times New Roman" w:hAnsi="Times New Roman"/>
          <w:b w:val="0"/>
          <w:bCs/>
          <w:color w:val="auto"/>
          <w:sz w:val="24"/>
          <w:szCs w:val="24"/>
        </w:rPr>
        <w:t>日</w:t>
      </w:r>
      <w:r>
        <w:rPr>
          <w:rFonts w:ascii="Times New Roman" w:hAnsi="Times New Roman"/>
          <w:b w:val="0"/>
          <w:bCs/>
          <w:color w:val="auto"/>
          <w:kern w:val="0"/>
          <w:sz w:val="24"/>
          <w:szCs w:val="24"/>
        </w:rPr>
        <w:t>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390A2A1">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5841BF64">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8"/>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吴老师</w:t>
      </w:r>
    </w:p>
    <w:p w14:paraId="3FBB2EB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13547147144</w:t>
      </w:r>
      <w:r>
        <w:rPr>
          <w:sz w:val="24"/>
          <w:szCs w:val="24"/>
        </w:rPr>
        <w:t xml:space="preserve"> </w:t>
      </w:r>
    </w:p>
    <w:p w14:paraId="520508EE">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430B93E3">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0C22FD7C">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722C2F85">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6CD4F4C6">
      <w:pPr>
        <w:rPr>
          <w:sz w:val="24"/>
          <w:szCs w:val="24"/>
        </w:rPr>
      </w:pPr>
      <w:bookmarkStart w:id="1" w:name="_Toc52036324"/>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1"/>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s="Times New Roman" w:asciiTheme="minorEastAsia" w:hAnsiTheme="minorEastAsia"/>
          <w:b/>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8"/>
          <w:szCs w:val="28"/>
          <w:lang w:eastAsia="zh-CN"/>
          <w14:textFill>
            <w14:solidFill>
              <w14:schemeClr w14:val="tx1"/>
            </w14:solidFill>
          </w14:textFill>
        </w:rPr>
        <w:t>一、技术参数及要求</w:t>
      </w:r>
      <w:bookmarkStart w:id="2" w:name="_Toc233048245"/>
      <w:bookmarkStart w:id="3" w:name="_Toc350964160"/>
    </w:p>
    <w:p w14:paraId="6EE3D1AF">
      <w:pPr>
        <w:pStyle w:val="2"/>
        <w:keepNext w:val="0"/>
        <w:keepLines w:val="0"/>
        <w:pageBreakBefore w:val="0"/>
        <w:numPr>
          <w:ilvl w:val="0"/>
          <w:numId w:val="0"/>
        </w:numPr>
        <w:kinsoku/>
        <w:wordWrap/>
        <w:overflowPunct/>
        <w:topLinePunct w:val="0"/>
        <w:autoSpaceDE/>
        <w:autoSpaceDN/>
        <w:bidi w:val="0"/>
        <w:adjustRightInd/>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1.路由网关（集成AC）</w:t>
      </w:r>
    </w:p>
    <w:p w14:paraId="599C6EC8">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 配备千兆GE电口≥6，所有端口允许自定义WAN/LAN功能，19寸标准2U设备 ，配有USB口≥2个。</w:t>
      </w:r>
    </w:p>
    <w:p w14:paraId="41F124CD">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 支持客户端负载均衡，支持DPI流控，需要在路由界面进行截图；</w:t>
      </w:r>
    </w:p>
    <w:p w14:paraId="036B9B38">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 可以区分不同的应用协议，并对不同的协议进行优先级的流控设定，至少可以实现包含对网页浏览、网络通讯、视频、游戏、下载、文件传输等协议的分级管理。</w:t>
      </w:r>
    </w:p>
    <w:p w14:paraId="6301F620">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 路由和AC一体化设备，支持AP自动发现,集中配置和管理。</w:t>
      </w:r>
    </w:p>
    <w:p w14:paraId="2BB951A8">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 用户页面具有系统监控的功能，可展示在线终端数量随时间发化的增减趋势，可展示CPU负载以及内存占用量在前一段时间的变化趋势。</w:t>
      </w:r>
    </w:p>
    <w:p w14:paraId="62454943">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 用户页面需要展示内网流量排行 ，展示内网占用资源的终端排行，包含上下行速率、流量等数据 ，可查看此终端的协议速率详情、帐号详情，可对客户端IP直接限速和禁止联网。</w:t>
      </w:r>
    </w:p>
    <w:p w14:paraId="0BC9BB0A">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 可以展示协议流量分布，展示不同应用协议使用流量的统计数据，应用协议上下行流量动态图，展示不同应用协议即时的上下行速率 。</w:t>
      </w:r>
    </w:p>
    <w:p w14:paraId="04998B20">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 具有端口镜像功能，将路由某个端口的数据镜像到一个或多个端口进行备份或分析，用于实现对网络的监听。</w:t>
      </w:r>
    </w:p>
    <w:p w14:paraId="7E675F0A">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 具有VPN功能，用于向VPN服务端发起建立VPN隧道的请求，并对此隧道进行配置管理。</w:t>
      </w:r>
    </w:p>
    <w:p w14:paraId="2049BF68">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 ARP日志功能，记录ARP攻击、欺骗等事件。</w:t>
      </w:r>
    </w:p>
    <w:p w14:paraId="7A17C8EC">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1.11 有行为记录功能，记录网址浏览、IM、客户端上下线等行为记录，支持按条件查询、导出、清理。</w:t>
      </w:r>
    </w:p>
    <w:p w14:paraId="593801EE">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 本地拦截功能，禁止指定IP/IP段/IP分组在某些时段中访问特定的域名地址。</w:t>
      </w:r>
    </w:p>
    <w:p w14:paraId="3CEA1FA6">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 可以通过用户页面查看指定 AP 上的 wifi 用户信息，包括连入该 AP 用户的 IP地址、MAC 地址、信号强度和流量等</w:t>
      </w:r>
    </w:p>
    <w:p w14:paraId="660AFFD8">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1.14 允许通过指定不同的源/目的IP、源/目的端口号、应用协议、访问域名的数据使用不同的访问线路，以满足各种多线环境不同的应用需求。</w:t>
      </w:r>
    </w:p>
    <w:p w14:paraId="58A62A2C">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 可记录用户登录累计详情：可根据登录人次、登录人数、同时最大在线人数三种方式展现路由用户登录的详情；支持以“月”为单位查看用户登录情况。</w:t>
      </w:r>
    </w:p>
    <w:p w14:paraId="2280492B">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1.16 支持多线接入，至少五线，可支持不同运营商同时接入。</w:t>
      </w:r>
    </w:p>
    <w:p w14:paraId="13E83E9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 路由内必须带有认证计费功能，如web认证计费，以及多种计费套餐模板。</w:t>
      </w:r>
    </w:p>
    <w:p w14:paraId="587EAB9A">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 AC对AP无任何形式的license收费。</w:t>
      </w:r>
    </w:p>
    <w:p w14:paraId="4838B3C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1.19 为保障整个网络系统的稳定性，网关（为网关AC一体化设备）和AP为同一个品牌。</w:t>
      </w:r>
    </w:p>
    <w:p w14:paraId="0DD39ABF">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 网关支持双机热备，在无需网络运维人员的手动干预情况下，当其中一台网关宕机时，另一台网关能在短时间内主动承担起宕机网关的所有业务，从而实现网关冗余的一种功能。</w:t>
      </w:r>
    </w:p>
    <w:p w14:paraId="267CF1CA">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 AC管理里面，可创建不同的AP分组，加入此分组的AP即使用此分组的配置信息。</w:t>
      </w:r>
    </w:p>
    <w:p w14:paraId="2479F629">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1.22 网关支持虚拟机功能，可在网关上挂载的外置硬盘上安装需要的其他系统。</w:t>
      </w:r>
    </w:p>
    <w:p w14:paraId="538BE174">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1.23 支持网络状态体检，需包括外网线路、网关冲突、内网DHCP和PPPoE服务器检测功能。</w:t>
      </w:r>
    </w:p>
    <w:p w14:paraId="70927FAC">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 支持SD-WAN功能，至少支持对等、星型和树形结构组网方式，并支持数据二次封装。</w:t>
      </w:r>
    </w:p>
    <w:p w14:paraId="59545D2F">
      <w:pPr>
        <w:pStyle w:val="2"/>
        <w:keepNext w:val="0"/>
        <w:keepLines w:val="0"/>
        <w:pageBreakBefore w:val="0"/>
        <w:numPr>
          <w:ilvl w:val="0"/>
          <w:numId w:val="0"/>
        </w:numPr>
        <w:kinsoku/>
        <w:wordWrap/>
        <w:overflowPunct/>
        <w:topLinePunct w:val="0"/>
        <w:autoSpaceDE/>
        <w:autoSpaceDN/>
        <w:bidi w:val="0"/>
        <w:adjustRightInd/>
        <w:spacing w:line="44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2.室内 WIFI6 AP</w:t>
      </w:r>
    </w:p>
    <w:p w14:paraId="326117E1">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规格：吸顶/壁挂式 2.4GHz/5GHz双频AP</w:t>
      </w:r>
    </w:p>
    <w:p w14:paraId="0AADB92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 POE供电：IEE 802.3af/at</w:t>
      </w:r>
    </w:p>
    <w:p w14:paraId="30E98AB1">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 整机功耗：≤10W</w:t>
      </w:r>
    </w:p>
    <w:p w14:paraId="694FD545">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 网络接口：2个10/100/1000Mbps RJ45接口</w:t>
      </w:r>
    </w:p>
    <w:p w14:paraId="45181A2E">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 RF功率输出：20dbm （2.4GHz）、20dbm （5GHz）</w:t>
      </w:r>
    </w:p>
    <w:p w14:paraId="3E514953">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 天线增益：3dBi</w:t>
      </w:r>
    </w:p>
    <w:p w14:paraId="34F0D88F">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 无线速率：1167Mbps</w:t>
      </w:r>
    </w:p>
    <w:p w14:paraId="55885AA1">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 WiFi 标准：802.11a/b/g/n/ac</w:t>
      </w:r>
    </w:p>
    <w:p w14:paraId="5C942257">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 带机数量：60个</w:t>
      </w:r>
    </w:p>
    <w:p w14:paraId="350FB55F">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2.10 拟覆盖半径:20M</w:t>
      </w:r>
    </w:p>
    <w:p w14:paraId="4A3E01A2">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2.11 WLAN功能：8个SSID数；支持SSID隐藏；支持不同SSID可配置单独的加密机制、VLAN属性；支持访客模式；信号强度手动切换；分组管理；无缝漫游；手动和自动信道选择。</w:t>
      </w:r>
    </w:p>
    <w:p w14:paraId="734CF82B">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2.12 安全功能：支持WPA-PSK、WPA2-PSK、WPA-PSK+WPA2+PSK加密；支持用户、密码、手机、QQ、微信、钉钉、动态密码等多种认证模式。</w:t>
      </w:r>
    </w:p>
    <w:p w14:paraId="70340492">
      <w:pPr>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2.13 管理维护：支持WEB统一管理、在线升级、定时开启、定时重启、离线检测及告警、接入用户信息数据统计、Fit工作模式。</w:t>
      </w:r>
    </w:p>
    <w:p w14:paraId="74C56CBE">
      <w:pPr>
        <w:keepNext w:val="0"/>
        <w:keepLines w:val="0"/>
        <w:pageBreakBefore w:val="0"/>
        <w:numPr>
          <w:ilvl w:val="0"/>
          <w:numId w:val="0"/>
        </w:numPr>
        <w:kinsoku/>
        <w:wordWrap/>
        <w:overflowPunct/>
        <w:topLinePunct w:val="0"/>
        <w:autoSpaceDE/>
        <w:autoSpaceDN/>
        <w:bidi w:val="0"/>
        <w:adjustRightInd/>
        <w:spacing w:line="440" w:lineRule="exact"/>
        <w:ind w:leftChars="0"/>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r>
        <w:rPr>
          <w:rFonts w:hint="eastAsia" w:ascii="宋体" w:hAnsi="宋体" w:eastAsia="宋体" w:cs="宋体"/>
          <w:b/>
          <w:bCs/>
          <w:sz w:val="24"/>
          <w:szCs w:val="24"/>
          <w:lang w:val="en-US" w:eastAsia="zh-CN"/>
        </w:rPr>
        <w:t>POE交换机</w:t>
      </w:r>
    </w:p>
    <w:p w14:paraId="3226AF6C">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 尺寸：19寸标准机架式</w:t>
      </w:r>
    </w:p>
    <w:p w14:paraId="048A2414">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 POE供电功率：380W</w:t>
      </w:r>
    </w:p>
    <w:p w14:paraId="201523F1">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 电源：AC 100-240V/50-60Hz</w:t>
      </w:r>
    </w:p>
    <w:p w14:paraId="40621199">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 业务口防雷：2KV</w:t>
      </w:r>
    </w:p>
    <w:p w14:paraId="0CEB7125">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 网络接口：24个10/100/1000Mbps RJ45接口</w:t>
      </w:r>
    </w:p>
    <w:p w14:paraId="47EBFF3A">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 交换容量：52Gbps</w:t>
      </w:r>
    </w:p>
    <w:p w14:paraId="423443ED">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 包转发率：38.7Mpps</w:t>
      </w:r>
    </w:p>
    <w:p w14:paraId="67D7925B">
      <w:pPr>
        <w:pStyle w:val="2"/>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 MAC地址表：8K</w:t>
      </w:r>
    </w:p>
    <w:p w14:paraId="61D3B96D">
      <w:pPr>
        <w:pStyle w:val="2"/>
        <w:keepNext w:val="0"/>
        <w:keepLines w:val="0"/>
        <w:pageBreakBefore w:val="0"/>
        <w:numPr>
          <w:ilvl w:val="0"/>
          <w:numId w:val="0"/>
        </w:numPr>
        <w:kinsoku/>
        <w:wordWrap/>
        <w:overflowPunct/>
        <w:topLinePunct w:val="0"/>
        <w:autoSpaceDE/>
        <w:autoSpaceDN/>
        <w:bidi w:val="0"/>
        <w:adjustRightInd/>
        <w:spacing w:line="440" w:lineRule="exact"/>
        <w:ind w:leftChars="0"/>
        <w:rPr>
          <w:rFonts w:hint="eastAsia" w:ascii="宋体" w:hAnsi="宋体" w:eastAsia="宋体" w:cs="宋体"/>
          <w:b/>
          <w:bCs/>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4.</w:t>
      </w:r>
      <w:r>
        <w:rPr>
          <w:rFonts w:hint="eastAsia" w:ascii="宋体" w:hAnsi="宋体" w:eastAsia="宋体" w:cs="宋体"/>
          <w:b/>
          <w:bCs/>
          <w:sz w:val="24"/>
          <w:szCs w:val="24"/>
          <w:lang w:val="en-US" w:eastAsia="zh-CN"/>
        </w:rPr>
        <w:t>一体化ONU</w:t>
      </w:r>
    </w:p>
    <w:p w14:paraId="7813F2FB">
      <w:pPr>
        <w:keepNext w:val="0"/>
        <w:keepLines w:val="0"/>
        <w:pageBreakBefore w:val="0"/>
        <w:widowControl/>
        <w:suppressLineNumbers w:val="0"/>
        <w:kinsoku/>
        <w:wordWrap/>
        <w:overflowPunct/>
        <w:topLinePunct w:val="0"/>
        <w:autoSpaceDE/>
        <w:autoSpaceDN/>
        <w:bidi w:val="0"/>
        <w:adjustRightIn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 提供2.4GHz和5.0GHz双频段无线WIFI接入；</w:t>
      </w:r>
    </w:p>
    <w:p w14:paraId="4E900AF6">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4.2 网络接口：≥2个100或1000Mbps LAN口。</w:t>
      </w:r>
    </w:p>
    <w:p w14:paraId="71B3FD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1.服务地点及服务期限</w:t>
      </w:r>
    </w:p>
    <w:p w14:paraId="5D1F73D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服务地点：三台县人民医院。</w:t>
      </w:r>
    </w:p>
    <w:p w14:paraId="670D701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服务期限：一年。</w:t>
      </w:r>
    </w:p>
    <w:p w14:paraId="0152AE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2.售后服务要求</w:t>
      </w:r>
    </w:p>
    <w:p w14:paraId="27BEDBC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bookmarkStart w:id="4" w:name="_Toc520455383"/>
      <w:bookmarkStart w:id="5" w:name="_Toc52036325"/>
      <w:r>
        <w:rPr>
          <w:rFonts w:hint="eastAsia" w:ascii="宋体" w:hAnsi="宋体" w:cs="宋体"/>
          <w:sz w:val="24"/>
          <w:szCs w:val="24"/>
          <w:lang w:val="en-US" w:eastAsia="zh-CN"/>
        </w:rPr>
        <w:t xml:space="preserve"> 设备故障的响应时间：电话报修响应时间≤5分钟，现场服务响应时间≤1小时，一般故障处置≤2小时，其他故障处置≤48小时。</w:t>
      </w:r>
    </w:p>
    <w:p w14:paraId="3C799A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技术支持：在服务期内，免费提供24小时咨询热线电话和常年本地技术支持。</w:t>
      </w:r>
    </w:p>
    <w:p w14:paraId="7C59B0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建立项目售后保障小组，负责跟进日常故障报修及处置情况，并协助业主方收集用户意见或建议。</w:t>
      </w:r>
    </w:p>
    <w:p w14:paraId="07131E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3.付款方法和条件</w:t>
      </w:r>
    </w:p>
    <w:p w14:paraId="176F4FB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服务周期结束</w:t>
      </w:r>
      <w:r>
        <w:rPr>
          <w:rFonts w:hint="eastAsia" w:ascii="宋体" w:hAnsi="宋体" w:cs="宋体"/>
          <w:sz w:val="24"/>
          <w:szCs w:val="24"/>
          <w:lang w:val="en-US" w:eastAsia="zh-CN"/>
        </w:rPr>
        <w:t>后</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收到</w:t>
      </w:r>
      <w:r>
        <w:rPr>
          <w:rFonts w:hint="eastAsia" w:ascii="宋体" w:hAnsi="宋体" w:eastAsia="宋体" w:cs="宋体"/>
          <w:sz w:val="24"/>
          <w:szCs w:val="24"/>
          <w:lang w:val="en-US" w:eastAsia="zh-CN"/>
        </w:rPr>
        <w:t>服务费的正式发票，1个月内支付全部费用。</w:t>
      </w:r>
    </w:p>
    <w:p w14:paraId="7D8D97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3.2付款方式：转账、电汇等非现金方式。</w:t>
      </w:r>
    </w:p>
    <w:p w14:paraId="50DC76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4.其他</w:t>
      </w:r>
    </w:p>
    <w:p w14:paraId="08EEE0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 接入总带宽：AC接入总带宽≥1000Mbps。</w:t>
      </w:r>
    </w:p>
    <w:p w14:paraId="144BD19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4.2 网络安全追溯机制：所投放建设的公共WiFi网络应有用户上网行为追溯机</w:t>
      </w:r>
      <w:r>
        <w:rPr>
          <w:rFonts w:hint="eastAsia" w:ascii="宋体" w:hAnsi="宋体" w:eastAsia="宋体" w:cs="宋体"/>
          <w:color w:val="000000" w:themeColor="text1"/>
          <w:sz w:val="24"/>
          <w:szCs w:val="24"/>
          <w:lang w:val="en-US" w:eastAsia="zh-CN"/>
          <w14:textFill>
            <w14:solidFill>
              <w14:schemeClr w14:val="tx1"/>
            </w14:solidFill>
          </w14:textFill>
        </w:rPr>
        <w:t>制，对涉及网络危害行为能追查定位，由投标人负责与相关单位协调调查。</w:t>
      </w:r>
    </w:p>
    <w:p w14:paraId="63F05B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所提供的技术和服务须严格遵守《中华人民共和国网络安全法》等法律法规。</w:t>
      </w:r>
    </w:p>
    <w:p w14:paraId="6600A31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 针对本项目提供实施方案和售后服务服务方案，方案内容包含但不限于：①项目实施计划、②响应时间及措施、③现场服务支持能力</w:t>
      </w:r>
      <w:r>
        <w:rPr>
          <w:rFonts w:hint="eastAsia" w:ascii="宋体" w:hAnsi="宋体" w:cs="宋体"/>
          <w:color w:val="000000" w:themeColor="text1"/>
          <w:sz w:val="24"/>
          <w:szCs w:val="24"/>
          <w:lang w:val="en-US" w:eastAsia="zh-CN"/>
          <w14:textFill>
            <w14:solidFill>
              <w14:schemeClr w14:val="tx1"/>
            </w14:solidFill>
          </w14:textFill>
        </w:rPr>
        <w:t>和人员及设备配备情况</w:t>
      </w:r>
      <w:r>
        <w:rPr>
          <w:rFonts w:hint="eastAsia" w:ascii="宋体" w:hAnsi="宋体" w:eastAsia="宋体" w:cs="宋体"/>
          <w:color w:val="000000" w:themeColor="text1"/>
          <w:sz w:val="24"/>
          <w:szCs w:val="24"/>
          <w:lang w:val="en-US" w:eastAsia="zh-CN"/>
          <w14:textFill>
            <w14:solidFill>
              <w14:schemeClr w14:val="tx1"/>
            </w14:solidFill>
          </w14:textFill>
        </w:rPr>
        <w:t>、④售后服务方案及应急方案</w:t>
      </w:r>
      <w:r>
        <w:rPr>
          <w:rFonts w:hint="eastAsia" w:ascii="宋体" w:hAnsi="宋体" w:cs="宋体"/>
          <w:color w:val="000000" w:themeColor="text1"/>
          <w:sz w:val="24"/>
          <w:szCs w:val="24"/>
          <w:lang w:val="en-US" w:eastAsia="zh-CN"/>
          <w14:textFill>
            <w14:solidFill>
              <w14:schemeClr w14:val="tx1"/>
            </w14:solidFill>
          </w14:textFill>
        </w:rPr>
        <w:t>。</w:t>
      </w:r>
    </w:p>
    <w:p w14:paraId="156B37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5.验收：</w:t>
      </w:r>
      <w:r>
        <w:rPr>
          <w:rFonts w:hint="eastAsia" w:ascii="宋体" w:hAnsi="宋体" w:eastAsia="宋体" w:cs="宋体"/>
          <w:color w:val="000000" w:themeColor="text1"/>
          <w:sz w:val="24"/>
          <w:szCs w:val="24"/>
          <w:lang w:val="en-US" w:eastAsia="zh-CN"/>
          <w14:textFill>
            <w14:solidFill>
              <w14:schemeClr w14:val="tx1"/>
            </w14:solidFill>
          </w14:textFill>
        </w:rPr>
        <w:t>按照比选文件服务要求、响应文件响应情况和国家、行业标准进行验收。</w:t>
      </w:r>
    </w:p>
    <w:p w14:paraId="6A2096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6" w:name="_Toc520455385"/>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w:t>
      </w:r>
      <w:r>
        <w:rPr>
          <w:rFonts w:hint="eastAsia" w:ascii="宋体" w:hAnsi="宋体" w:eastAsia="宋体" w:cs="宋体"/>
          <w:b/>
          <w:bCs/>
          <w:sz w:val="24"/>
          <w:szCs w:val="24"/>
        </w:rPr>
        <w:t>注：商务要求为实质性要求，负偏离将导致响应文件无效。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188AC381">
      <w:pPr>
        <w:spacing w:line="360" w:lineRule="auto"/>
        <w:jc w:val="center"/>
        <w:rPr>
          <w:rFonts w:hint="eastAsia" w:ascii="Times New Roman" w:hAnsi="Times New Roman"/>
          <w:b/>
          <w:bCs/>
          <w:color w:val="auto"/>
          <w:kern w:val="0"/>
          <w:sz w:val="32"/>
          <w:szCs w:val="32"/>
        </w:rPr>
      </w:pPr>
    </w:p>
    <w:p w14:paraId="46D93C4A">
      <w:pPr>
        <w:spacing w:line="360" w:lineRule="auto"/>
        <w:jc w:val="center"/>
        <w:rPr>
          <w:rFonts w:hint="eastAsia" w:ascii="Times New Roman" w:hAnsi="Times New Roman"/>
          <w:b/>
          <w:bCs/>
          <w:color w:val="auto"/>
          <w:kern w:val="0"/>
          <w:sz w:val="32"/>
          <w:szCs w:val="32"/>
        </w:rPr>
      </w:pPr>
    </w:p>
    <w:p w14:paraId="39E4EC18">
      <w:pPr>
        <w:spacing w:line="360" w:lineRule="auto"/>
        <w:jc w:val="center"/>
        <w:rPr>
          <w:rFonts w:hint="eastAsia" w:ascii="Times New Roman" w:hAnsi="Times New Roman"/>
          <w:b/>
          <w:bCs/>
          <w:color w:val="auto"/>
          <w:kern w:val="0"/>
          <w:sz w:val="32"/>
          <w:szCs w:val="32"/>
        </w:rPr>
      </w:pP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6"/>
    </w:p>
    <w:bookmarkEnd w:id="4"/>
    <w:bookmarkEnd w:id="5"/>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5"/>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eastAsia="宋体" w:cs="宋体"/>
                <w:bCs/>
                <w:color w:val="auto"/>
                <w:sz w:val="24"/>
                <w:szCs w:val="24"/>
                <w:lang w:val="en-US" w:eastAsia="zh-CN"/>
              </w:rPr>
              <w:t>47%</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47</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eastAsia="宋体" w:cs="宋体"/>
                <w:color w:val="000000" w:themeColor="text1"/>
                <w:sz w:val="24"/>
                <w:szCs w:val="24"/>
                <w:lang w:val="en-US" w:eastAsia="zh-CN"/>
                <w14:textFill>
                  <w14:solidFill>
                    <w14:schemeClr w14:val="tx1"/>
                  </w14:solidFill>
                </w14:textFill>
              </w:rPr>
              <w:t>47</w:t>
            </w:r>
            <w:r>
              <w:rPr>
                <w:rFonts w:hint="eastAsia" w:ascii="宋体" w:hAnsi="宋体" w:eastAsia="宋体" w:cs="宋体"/>
                <w:color w:val="000000" w:themeColor="text1"/>
                <w:sz w:val="24"/>
                <w:szCs w:val="24"/>
                <w14:textFill>
                  <w14:solidFill>
                    <w14:schemeClr w14:val="tx1"/>
                  </w14:solidFill>
                </w14:textFill>
              </w:rPr>
              <w:t>分；技术参数一条不满足扣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rPr>
            </w:pPr>
          </w:p>
        </w:tc>
      </w:tr>
      <w:tr w14:paraId="3A7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3F97B7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6A8DE57B">
            <w:pPr>
              <w:wordWrap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项目实施及售后服务方案</w:t>
            </w:r>
          </w:p>
          <w:p w14:paraId="69325597">
            <w:pPr>
              <w:wordWrap w:val="0"/>
              <w:spacing w:line="360" w:lineRule="auto"/>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20%</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043CCC6">
            <w:pPr>
              <w:wordWrap w:val="0"/>
              <w:spacing w:line="360" w:lineRule="auto"/>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0</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6449D90E">
            <w:pPr>
              <w:wordWrap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供应商针对本项目提供实施方案</w:t>
            </w:r>
            <w:r>
              <w:rPr>
                <w:rFonts w:hint="eastAsia" w:ascii="宋体" w:hAnsi="宋体" w:cs="宋体"/>
                <w:color w:val="000000" w:themeColor="text1"/>
                <w:sz w:val="24"/>
                <w:szCs w:val="24"/>
                <w:lang w:eastAsia="zh-CN"/>
                <w14:textFill>
                  <w14:solidFill>
                    <w14:schemeClr w14:val="tx1"/>
                  </w14:solidFill>
                </w14:textFill>
              </w:rPr>
              <w:t>和售后服务</w:t>
            </w:r>
            <w:r>
              <w:rPr>
                <w:rFonts w:hint="eastAsia" w:ascii="宋体" w:hAnsi="宋体" w:eastAsia="宋体" w:cs="宋体"/>
                <w:color w:val="000000" w:themeColor="text1"/>
                <w:sz w:val="24"/>
                <w:szCs w:val="24"/>
                <w14:textFill>
                  <w14:solidFill>
                    <w14:schemeClr w14:val="tx1"/>
                  </w14:solidFill>
                </w14:textFill>
              </w:rPr>
              <w:t>，方案内容包含但不限于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①项目实施计划、②响应时间</w:t>
            </w:r>
            <w:r>
              <w:rPr>
                <w:rFonts w:hint="eastAsia" w:ascii="宋体" w:hAnsi="宋体" w:eastAsia="宋体" w:cs="宋体"/>
                <w:color w:val="000000" w:themeColor="text1"/>
                <w:sz w:val="24"/>
                <w:szCs w:val="24"/>
                <w:lang w:val="en-US" w:eastAsia="zh-CN"/>
                <w14:textFill>
                  <w14:solidFill>
                    <w14:schemeClr w14:val="tx1"/>
                  </w14:solidFill>
                </w14:textFill>
              </w:rPr>
              <w:t>及措施、</w:t>
            </w:r>
            <w:r>
              <w:rPr>
                <w:rFonts w:hint="eastAsia" w:ascii="宋体" w:hAnsi="宋体" w:eastAsia="宋体" w:cs="宋体"/>
                <w:color w:val="000000" w:themeColor="text1"/>
                <w:sz w:val="24"/>
                <w:szCs w:val="24"/>
                <w14:textFill>
                  <w14:solidFill>
                    <w14:schemeClr w14:val="tx1"/>
                  </w14:solidFill>
                </w14:textFill>
              </w:rPr>
              <w:t>③现场服务支持能力</w:t>
            </w:r>
            <w:r>
              <w:rPr>
                <w:rFonts w:hint="eastAsia" w:ascii="宋体" w:hAnsi="宋体" w:cs="宋体"/>
                <w:color w:val="000000" w:themeColor="text1"/>
                <w:sz w:val="24"/>
                <w:szCs w:val="24"/>
                <w:lang w:eastAsia="zh-CN"/>
                <w14:textFill>
                  <w14:solidFill>
                    <w14:schemeClr w14:val="tx1"/>
                  </w14:solidFill>
                </w14:textFill>
              </w:rPr>
              <w:t>和</w:t>
            </w:r>
            <w:r>
              <w:rPr>
                <w:rFonts w:hint="eastAsia" w:ascii="宋体" w:hAnsi="宋体" w:cs="宋体"/>
                <w:color w:val="000000" w:themeColor="text1"/>
                <w:sz w:val="24"/>
                <w:szCs w:val="24"/>
                <w:lang w:val="en-US" w:eastAsia="zh-CN"/>
                <w14:textFill>
                  <w14:solidFill>
                    <w14:schemeClr w14:val="tx1"/>
                  </w14:solidFill>
                </w14:textFill>
              </w:rPr>
              <w:t>人员及设备配备情况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④售后服务方案</w:t>
            </w:r>
            <w:r>
              <w:rPr>
                <w:rFonts w:hint="eastAsia" w:ascii="宋体" w:hAnsi="宋体" w:eastAsia="宋体" w:cs="宋体"/>
                <w:color w:val="000000" w:themeColor="text1"/>
                <w:sz w:val="24"/>
                <w:szCs w:val="24"/>
                <w:lang w:val="en-US"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应急方案；内容完整并满足项目需求得</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分，每缺少一项内容扣</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分，每有一项内容存在缺陷的扣</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9EA853B">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eastAsia="宋体" w:cs="宋体"/>
                <w:bCs/>
                <w:color w:val="auto"/>
                <w:sz w:val="24"/>
                <w:szCs w:val="24"/>
                <w:lang w:val="en-US" w:eastAsia="zh-CN"/>
              </w:rPr>
              <w:t>3%</w:t>
            </w:r>
          </w:p>
        </w:tc>
        <w:tc>
          <w:tcPr>
            <w:tcW w:w="668"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33606FD">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w:t>
            </w:r>
          </w:p>
          <w:p w14:paraId="016B5CE8">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同类型</w:t>
            </w:r>
            <w:r>
              <w:rPr>
                <w:rFonts w:hint="eastAsia" w:ascii="宋体" w:hAnsi="宋体" w:eastAsia="宋体" w:cs="宋体"/>
                <w:color w:val="auto"/>
                <w:sz w:val="24"/>
                <w:szCs w:val="24"/>
              </w:rPr>
              <w:t>销售业绩。</w:t>
            </w:r>
          </w:p>
          <w:p w14:paraId="47595A9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7" w:name="_Toc33698132"/>
      <w:bookmarkStart w:id="8" w:name="_Toc34051805"/>
      <w:bookmarkStart w:id="9" w:name="_Toc52036326"/>
      <w:bookmarkStart w:id="10" w:name="_Toc40447267"/>
      <w:bookmarkStart w:id="11" w:name="_Toc33709793"/>
      <w:r>
        <w:rPr>
          <w:rFonts w:ascii="Times New Roman" w:hAnsi="Times New Roman" w:eastAsia="黑体"/>
          <w:b/>
          <w:kern w:val="0"/>
          <w:sz w:val="32"/>
          <w:szCs w:val="32"/>
        </w:rPr>
        <w:t>一、封面</w:t>
      </w:r>
      <w:bookmarkEnd w:id="7"/>
      <w:bookmarkEnd w:id="8"/>
      <w:bookmarkEnd w:id="9"/>
      <w:bookmarkEnd w:id="10"/>
      <w:bookmarkEnd w:id="11"/>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2" w:name="_Toc33698133"/>
      <w:bookmarkStart w:id="13" w:name="_Toc40447268"/>
      <w:bookmarkStart w:id="14" w:name="_Toc34051806"/>
      <w:bookmarkStart w:id="15" w:name="_Toc33709794"/>
      <w:bookmarkStart w:id="16" w:name="_Toc52036327"/>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17" w:name="_Toc33709795"/>
      <w:bookmarkStart w:id="18" w:name="_Toc52036328"/>
      <w:bookmarkStart w:id="19" w:name="_Toc40447269"/>
      <w:bookmarkStart w:id="20" w:name="_Toc34051807"/>
      <w:bookmarkStart w:id="21" w:name="_Toc33698134"/>
      <w:r>
        <w:rPr>
          <w:rFonts w:ascii="Times New Roman" w:hAnsi="Times New Roman" w:eastAsia="黑体"/>
          <w:b/>
          <w:kern w:val="0"/>
          <w:sz w:val="32"/>
          <w:szCs w:val="32"/>
        </w:rPr>
        <w:t>三、承诺函</w:t>
      </w:r>
      <w:bookmarkEnd w:id="17"/>
      <w:bookmarkEnd w:id="18"/>
      <w:bookmarkEnd w:id="19"/>
      <w:bookmarkEnd w:id="20"/>
      <w:bookmarkEnd w:id="21"/>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2" w:name="_Toc34051808"/>
      <w:bookmarkStart w:id="23" w:name="_Toc52036329"/>
      <w:bookmarkStart w:id="24" w:name="_Toc40447270"/>
      <w:bookmarkStart w:id="25" w:name="_Toc33698135"/>
      <w:bookmarkStart w:id="26" w:name="_Toc33709796"/>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27" w:name="_Toc436404120"/>
      <w:bookmarkStart w:id="28" w:name="_Toc307564880"/>
      <w:bookmarkStart w:id="29" w:name="_Toc436410129"/>
      <w:bookmarkStart w:id="30" w:name="_Toc436385992"/>
      <w:bookmarkStart w:id="31" w:name="_Toc43682089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6971"/>
      <w:bookmarkStart w:id="33" w:name="_Toc503987293"/>
      <w:bookmarkStart w:id="34" w:name="_Toc503986415"/>
      <w:bookmarkStart w:id="35" w:name="_Toc503987104"/>
      <w:bookmarkStart w:id="36" w:name="_Toc503987183"/>
      <w:bookmarkStart w:id="37" w:name="_Toc503986838"/>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38" w:name="_Toc40447271"/>
      <w:bookmarkStart w:id="39" w:name="_Toc33709797"/>
      <w:bookmarkStart w:id="40" w:name="_Toc33698136"/>
      <w:bookmarkStart w:id="41" w:name="_Toc52036330"/>
      <w:bookmarkStart w:id="42" w:name="_Toc34051809"/>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3" w:name="_Toc33709798"/>
      <w:bookmarkStart w:id="44" w:name="_Toc52036331"/>
      <w:bookmarkStart w:id="45" w:name="_Toc40447272"/>
      <w:bookmarkStart w:id="46" w:name="_Toc33698137"/>
      <w:bookmarkStart w:id="47" w:name="_Toc34051810"/>
      <w:r>
        <w:rPr>
          <w:rFonts w:ascii="Times New Roman" w:hAnsi="Times New Roman" w:eastAsia="黑体"/>
          <w:b/>
          <w:kern w:val="0"/>
          <w:sz w:val="32"/>
          <w:szCs w:val="32"/>
        </w:rPr>
        <w:t>九、知识产权承诺函</w:t>
      </w:r>
      <w:bookmarkEnd w:id="43"/>
      <w:bookmarkEnd w:id="44"/>
      <w:bookmarkEnd w:id="45"/>
      <w:bookmarkEnd w:id="46"/>
      <w:bookmarkEnd w:id="47"/>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bookmarkStart w:id="48" w:name="_GoBack"/>
      <w:bookmarkEnd w:id="48"/>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2BC3E3CA">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1BED816">
      <w:pPr>
        <w:rPr>
          <w:rFonts w:ascii="Times New Roman" w:hAnsi="Times New Roman"/>
          <w:sz w:val="24"/>
          <w:szCs w:val="20"/>
        </w:rPr>
      </w:pPr>
    </w:p>
    <w:p w14:paraId="5C6EE405">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14:paraId="352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F90EBB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14:paraId="07FB4E18">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14:paraId="1759E6FF">
            <w:pPr>
              <w:ind w:left="-105" w:leftChars="-50" w:right="-105" w:rightChars="-50"/>
              <w:jc w:val="center"/>
              <w:rPr>
                <w:rFonts w:ascii="Times New Roman" w:hAnsi="Times New Roman"/>
                <w:b/>
                <w:sz w:val="24"/>
              </w:rPr>
            </w:pPr>
            <w:r>
              <w:rPr>
                <w:rFonts w:hint="eastAsia" w:ascii="Times New Roman" w:hAnsi="Times New Roman"/>
                <w:b/>
                <w:sz w:val="24"/>
              </w:rPr>
              <w:t>服务内容</w:t>
            </w:r>
          </w:p>
        </w:tc>
        <w:tc>
          <w:tcPr>
            <w:tcW w:w="494" w:type="pct"/>
            <w:vAlign w:val="center"/>
          </w:tcPr>
          <w:p w14:paraId="2563D65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14:paraId="799F4F77">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389FC07B">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14:paraId="0EB19AB0">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277546FE">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14:paraId="6B2632F1">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79F7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91C3454">
            <w:pPr>
              <w:spacing w:line="360" w:lineRule="auto"/>
              <w:ind w:left="-105" w:leftChars="-50" w:right="-105" w:rightChars="-50"/>
              <w:jc w:val="center"/>
              <w:rPr>
                <w:rFonts w:ascii="Times New Roman" w:hAnsi="Times New Roman"/>
                <w:sz w:val="24"/>
              </w:rPr>
            </w:pPr>
          </w:p>
        </w:tc>
        <w:tc>
          <w:tcPr>
            <w:tcW w:w="695" w:type="pct"/>
            <w:vAlign w:val="center"/>
          </w:tcPr>
          <w:p w14:paraId="421617B1">
            <w:pPr>
              <w:spacing w:line="360" w:lineRule="auto"/>
              <w:ind w:left="-105" w:leftChars="-50" w:right="-105" w:rightChars="-50"/>
              <w:jc w:val="center"/>
              <w:rPr>
                <w:rFonts w:ascii="Times New Roman" w:hAnsi="Times New Roman"/>
                <w:sz w:val="24"/>
              </w:rPr>
            </w:pPr>
          </w:p>
        </w:tc>
        <w:tc>
          <w:tcPr>
            <w:tcW w:w="1065" w:type="pct"/>
            <w:vAlign w:val="center"/>
          </w:tcPr>
          <w:p w14:paraId="1C9DFD92">
            <w:pPr>
              <w:spacing w:line="360" w:lineRule="auto"/>
              <w:ind w:left="-105" w:leftChars="-50" w:right="-105" w:rightChars="-50"/>
              <w:jc w:val="center"/>
              <w:rPr>
                <w:rFonts w:ascii="Times New Roman" w:hAnsi="Times New Roman"/>
                <w:sz w:val="24"/>
              </w:rPr>
            </w:pPr>
          </w:p>
        </w:tc>
        <w:tc>
          <w:tcPr>
            <w:tcW w:w="494" w:type="pct"/>
            <w:vAlign w:val="center"/>
          </w:tcPr>
          <w:p w14:paraId="6389E5A9">
            <w:pPr>
              <w:spacing w:line="360" w:lineRule="auto"/>
              <w:ind w:left="-105" w:leftChars="-50" w:right="-105" w:rightChars="-50"/>
              <w:jc w:val="center"/>
              <w:rPr>
                <w:rFonts w:ascii="Times New Roman" w:hAnsi="Times New Roman"/>
                <w:sz w:val="24"/>
              </w:rPr>
            </w:pPr>
          </w:p>
        </w:tc>
        <w:tc>
          <w:tcPr>
            <w:tcW w:w="725" w:type="pct"/>
            <w:vAlign w:val="center"/>
          </w:tcPr>
          <w:p w14:paraId="52CF6629">
            <w:pPr>
              <w:spacing w:line="360" w:lineRule="auto"/>
              <w:ind w:left="-105" w:leftChars="-50" w:right="-105" w:rightChars="-50"/>
              <w:jc w:val="center"/>
              <w:rPr>
                <w:rFonts w:ascii="Times New Roman" w:hAnsi="Times New Roman"/>
                <w:sz w:val="24"/>
              </w:rPr>
            </w:pPr>
          </w:p>
        </w:tc>
        <w:tc>
          <w:tcPr>
            <w:tcW w:w="851" w:type="pct"/>
            <w:vAlign w:val="center"/>
          </w:tcPr>
          <w:p w14:paraId="77A6DF12">
            <w:pPr>
              <w:spacing w:line="360" w:lineRule="auto"/>
              <w:ind w:left="-105" w:leftChars="-50" w:right="-105" w:rightChars="-50"/>
              <w:jc w:val="center"/>
              <w:rPr>
                <w:rFonts w:ascii="Times New Roman" w:hAnsi="Times New Roman"/>
                <w:sz w:val="24"/>
              </w:rPr>
            </w:pPr>
          </w:p>
        </w:tc>
        <w:tc>
          <w:tcPr>
            <w:tcW w:w="811" w:type="pct"/>
            <w:vAlign w:val="center"/>
          </w:tcPr>
          <w:p w14:paraId="6D11B9B9">
            <w:pPr>
              <w:spacing w:line="360" w:lineRule="auto"/>
              <w:ind w:left="-105" w:leftChars="-50" w:right="-105" w:rightChars="-50"/>
              <w:jc w:val="center"/>
              <w:rPr>
                <w:rFonts w:ascii="Times New Roman" w:hAnsi="Times New Roman"/>
                <w:sz w:val="24"/>
              </w:rPr>
            </w:pPr>
          </w:p>
        </w:tc>
      </w:tr>
      <w:tr w14:paraId="29C25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0FF40471">
            <w:pPr>
              <w:spacing w:line="360" w:lineRule="auto"/>
              <w:ind w:left="-105" w:leftChars="-50" w:right="-105" w:rightChars="-50"/>
              <w:jc w:val="center"/>
              <w:rPr>
                <w:rFonts w:ascii="Times New Roman" w:hAnsi="Times New Roman"/>
                <w:sz w:val="24"/>
              </w:rPr>
            </w:pPr>
          </w:p>
        </w:tc>
        <w:tc>
          <w:tcPr>
            <w:tcW w:w="695" w:type="pct"/>
            <w:vAlign w:val="center"/>
          </w:tcPr>
          <w:p w14:paraId="16B9F46B">
            <w:pPr>
              <w:spacing w:line="360" w:lineRule="auto"/>
              <w:ind w:left="-105" w:leftChars="-50" w:right="-105" w:rightChars="-50"/>
              <w:jc w:val="center"/>
              <w:rPr>
                <w:rFonts w:ascii="Times New Roman" w:hAnsi="Times New Roman"/>
                <w:sz w:val="24"/>
              </w:rPr>
            </w:pPr>
          </w:p>
        </w:tc>
        <w:tc>
          <w:tcPr>
            <w:tcW w:w="1065" w:type="pct"/>
            <w:vAlign w:val="center"/>
          </w:tcPr>
          <w:p w14:paraId="6B0374AF">
            <w:pPr>
              <w:spacing w:line="360" w:lineRule="auto"/>
              <w:ind w:left="-105" w:leftChars="-50" w:right="-105" w:rightChars="-50"/>
              <w:jc w:val="center"/>
              <w:rPr>
                <w:rFonts w:ascii="Times New Roman" w:hAnsi="Times New Roman"/>
                <w:sz w:val="24"/>
              </w:rPr>
            </w:pPr>
          </w:p>
        </w:tc>
        <w:tc>
          <w:tcPr>
            <w:tcW w:w="494" w:type="pct"/>
            <w:vAlign w:val="center"/>
          </w:tcPr>
          <w:p w14:paraId="29297415">
            <w:pPr>
              <w:spacing w:line="360" w:lineRule="auto"/>
              <w:ind w:left="-105" w:leftChars="-50" w:right="-105" w:rightChars="-50"/>
              <w:jc w:val="center"/>
              <w:rPr>
                <w:rFonts w:ascii="Times New Roman" w:hAnsi="Times New Roman"/>
                <w:sz w:val="24"/>
              </w:rPr>
            </w:pPr>
          </w:p>
        </w:tc>
        <w:tc>
          <w:tcPr>
            <w:tcW w:w="725" w:type="pct"/>
            <w:vAlign w:val="center"/>
          </w:tcPr>
          <w:p w14:paraId="12D08CBD">
            <w:pPr>
              <w:spacing w:line="360" w:lineRule="auto"/>
              <w:ind w:left="-105" w:leftChars="-50" w:right="-105" w:rightChars="-50"/>
              <w:jc w:val="center"/>
              <w:rPr>
                <w:rFonts w:ascii="Times New Roman" w:hAnsi="Times New Roman"/>
                <w:sz w:val="24"/>
              </w:rPr>
            </w:pPr>
          </w:p>
        </w:tc>
        <w:tc>
          <w:tcPr>
            <w:tcW w:w="851" w:type="pct"/>
            <w:vAlign w:val="center"/>
          </w:tcPr>
          <w:p w14:paraId="509A614C">
            <w:pPr>
              <w:spacing w:line="360" w:lineRule="auto"/>
              <w:ind w:left="-105" w:leftChars="-50" w:right="-105" w:rightChars="-50"/>
              <w:jc w:val="center"/>
              <w:rPr>
                <w:rFonts w:ascii="Times New Roman" w:hAnsi="Times New Roman"/>
                <w:sz w:val="24"/>
              </w:rPr>
            </w:pPr>
          </w:p>
        </w:tc>
        <w:tc>
          <w:tcPr>
            <w:tcW w:w="811" w:type="pct"/>
            <w:vAlign w:val="center"/>
          </w:tcPr>
          <w:p w14:paraId="12B212B8">
            <w:pPr>
              <w:spacing w:line="360" w:lineRule="auto"/>
              <w:ind w:left="-105" w:leftChars="-50" w:right="-105" w:rightChars="-50"/>
              <w:jc w:val="center"/>
              <w:rPr>
                <w:rFonts w:ascii="Times New Roman" w:hAnsi="Times New Roman"/>
                <w:sz w:val="24"/>
              </w:rPr>
            </w:pPr>
          </w:p>
        </w:tc>
      </w:tr>
    </w:tbl>
    <w:p w14:paraId="4D8118F1">
      <w:pPr>
        <w:spacing w:line="360" w:lineRule="auto"/>
        <w:rPr>
          <w:rFonts w:ascii="Times New Roman" w:hAnsi="Times New Roman"/>
          <w:sz w:val="24"/>
        </w:rPr>
      </w:pPr>
    </w:p>
    <w:p w14:paraId="56365096">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389E740">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117902C">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94D0804">
      <w:pPr>
        <w:numPr>
          <w:ilvl w:val="0"/>
          <w:numId w:val="0"/>
        </w:numPr>
        <w:spacing w:line="360" w:lineRule="auto"/>
        <w:jc w:val="left"/>
        <w:rPr>
          <w:rFonts w:hint="eastAsia" w:ascii="Times New Roman" w:hAnsi="Times New Roman"/>
          <w:b/>
          <w:bCs/>
          <w:sz w:val="24"/>
        </w:rPr>
      </w:pPr>
      <w:r>
        <w:rPr>
          <w:rFonts w:hint="eastAsia" w:ascii="Times New Roman" w:hAnsi="Times New Roman"/>
          <w:b/>
          <w:bCs/>
          <w:sz w:val="24"/>
        </w:rPr>
        <w:t>注：报价超过采购限价为无效响应文件。</w:t>
      </w:r>
    </w:p>
    <w:bookmarkEnd w:id="2"/>
    <w:bookmarkEnd w:id="3"/>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4"/>
    <w:autoRedefine/>
    <w:qFormat/>
    <w:uiPriority w:val="0"/>
    <w:pPr>
      <w:spacing w:after="120"/>
    </w:pPr>
    <w:rPr>
      <w:rFonts w:ascii="Times New Roman" w:hAnsi="Times New Roman"/>
    </w:rPr>
  </w:style>
  <w:style w:type="paragraph" w:styleId="6">
    <w:name w:val="Normal Indent"/>
    <w:basedOn w:val="1"/>
    <w:autoRedefine/>
    <w:qFormat/>
    <w:uiPriority w:val="0"/>
    <w:pPr>
      <w:widowControl/>
      <w:spacing w:line="360" w:lineRule="auto"/>
      <w:ind w:firstLine="420"/>
      <w:jc w:val="left"/>
    </w:pPr>
    <w:rPr>
      <w:rFonts w:ascii="宋体" w:hAnsi="宋体"/>
      <w:kern w:val="0"/>
      <w:szCs w:val="20"/>
    </w:rPr>
  </w:style>
  <w:style w:type="paragraph" w:styleId="7">
    <w:name w:val="annotation text"/>
    <w:basedOn w:val="1"/>
    <w:link w:val="61"/>
    <w:autoRedefine/>
    <w:qFormat/>
    <w:uiPriority w:val="0"/>
    <w:pPr>
      <w:jc w:val="left"/>
    </w:pPr>
    <w:rPr>
      <w:rFonts w:ascii="Times New Roman" w:hAnsi="Times New Roman"/>
    </w:rPr>
  </w:style>
  <w:style w:type="paragraph" w:styleId="8">
    <w:name w:val="Body Text Indent"/>
    <w:basedOn w:val="1"/>
    <w:next w:val="9"/>
    <w:link w:val="55"/>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1"/>
    <w:autoRedefine/>
    <w:qFormat/>
    <w:uiPriority w:val="0"/>
    <w:rPr>
      <w:rFonts w:ascii="宋体" w:hAnsi="Courier New" w:cs="Courier New"/>
      <w:szCs w:val="21"/>
    </w:rPr>
  </w:style>
  <w:style w:type="paragraph" w:styleId="12">
    <w:name w:val="Date"/>
    <w:basedOn w:val="1"/>
    <w:next w:val="1"/>
    <w:link w:val="60"/>
    <w:autoRedefine/>
    <w:qFormat/>
    <w:uiPriority w:val="0"/>
    <w:pPr>
      <w:ind w:left="100" w:leftChars="2500"/>
    </w:pPr>
    <w:rPr>
      <w:rFonts w:ascii="Times New Roman" w:hAnsi="Times New Roman"/>
    </w:rPr>
  </w:style>
  <w:style w:type="paragraph" w:styleId="13">
    <w:name w:val="Body Text Indent 2"/>
    <w:basedOn w:val="1"/>
    <w:link w:val="59"/>
    <w:autoRedefine/>
    <w:qFormat/>
    <w:uiPriority w:val="0"/>
    <w:pPr>
      <w:spacing w:after="120" w:line="480" w:lineRule="auto"/>
      <w:ind w:left="420" w:leftChars="200"/>
    </w:pPr>
  </w:style>
  <w:style w:type="paragraph" w:styleId="14">
    <w:name w:val="Balloon Text"/>
    <w:basedOn w:val="1"/>
    <w:link w:val="70"/>
    <w:autoRedefine/>
    <w:qFormat/>
    <w:uiPriority w:val="0"/>
    <w:rPr>
      <w:rFonts w:ascii="Times New Roman" w:hAnsi="Times New Roman"/>
      <w:sz w:val="18"/>
      <w:szCs w:val="18"/>
    </w:rPr>
  </w:style>
  <w:style w:type="paragraph" w:styleId="15">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66"/>
    <w:autoRedefine/>
    <w:qFormat/>
    <w:uiPriority w:val="0"/>
    <w:rPr>
      <w:b/>
      <w:bCs/>
    </w:rPr>
  </w:style>
  <w:style w:type="paragraph" w:styleId="2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3"/>
    <w:autoRedefine/>
    <w:qFormat/>
    <w:uiPriority w:val="0"/>
    <w:rPr>
      <w:rFonts w:ascii="Calibri" w:hAnsi="Calibri"/>
      <w:b/>
      <w:bCs/>
      <w:kern w:val="44"/>
      <w:sz w:val="44"/>
      <w:szCs w:val="44"/>
    </w:rPr>
  </w:style>
  <w:style w:type="character" w:customStyle="1" w:styleId="34">
    <w:name w:val="标题 2 Char"/>
    <w:basedOn w:val="27"/>
    <w:link w:val="4"/>
    <w:autoRedefine/>
    <w:qFormat/>
    <w:uiPriority w:val="0"/>
    <w:rPr>
      <w:rFonts w:ascii="Arial" w:hAnsi="Arial" w:eastAsia="黑体"/>
      <w:b/>
      <w:bCs/>
      <w:sz w:val="32"/>
      <w:szCs w:val="32"/>
    </w:rPr>
  </w:style>
  <w:style w:type="character" w:customStyle="1" w:styleId="35">
    <w:name w:val="标题 3 Char"/>
    <w:basedOn w:val="27"/>
    <w:link w:val="5"/>
    <w:autoRedefine/>
    <w:qFormat/>
    <w:uiPriority w:val="0"/>
    <w:rPr>
      <w:rFonts w:ascii="Calibri" w:hAnsi="Calibri"/>
      <w:b/>
      <w:bCs/>
      <w:kern w:val="2"/>
      <w:sz w:val="32"/>
      <w:szCs w:val="32"/>
    </w:rPr>
  </w:style>
  <w:style w:type="character" w:customStyle="1" w:styleId="36">
    <w:name w:val="批注框文本 Char"/>
    <w:link w:val="14"/>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8"/>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1"/>
    <w:autoRedefine/>
    <w:qFormat/>
    <w:locked/>
    <w:uiPriority w:val="0"/>
    <w:rPr>
      <w:rFonts w:ascii="宋体" w:hAnsi="Courier New" w:cs="Courier New"/>
      <w:kern w:val="2"/>
      <w:sz w:val="21"/>
      <w:szCs w:val="21"/>
    </w:rPr>
  </w:style>
  <w:style w:type="character" w:customStyle="1" w:styleId="44">
    <w:name w:val="日期 Char"/>
    <w:link w:val="12"/>
    <w:autoRedefine/>
    <w:qFormat/>
    <w:uiPriority w:val="0"/>
    <w:rPr>
      <w:kern w:val="2"/>
      <w:sz w:val="21"/>
      <w:szCs w:val="24"/>
    </w:rPr>
  </w:style>
  <w:style w:type="character" w:customStyle="1" w:styleId="45">
    <w:name w:val="正文文本 Char"/>
    <w:link w:val="2"/>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7"/>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5"/>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2"/>
    <w:autoRedefine/>
    <w:qFormat/>
    <w:uiPriority w:val="0"/>
    <w:rPr>
      <w:rFonts w:ascii="Calibri" w:hAnsi="Calibri"/>
      <w:kern w:val="2"/>
      <w:sz w:val="21"/>
      <w:szCs w:val="24"/>
    </w:rPr>
  </w:style>
  <w:style w:type="character" w:customStyle="1" w:styleId="55">
    <w:name w:val="正文文本缩进 Char1"/>
    <w:basedOn w:val="27"/>
    <w:link w:val="8"/>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3"/>
    <w:autoRedefine/>
    <w:qFormat/>
    <w:uiPriority w:val="0"/>
    <w:rPr>
      <w:rFonts w:ascii="Calibri" w:hAnsi="Calibri"/>
      <w:kern w:val="2"/>
      <w:sz w:val="21"/>
      <w:szCs w:val="24"/>
    </w:rPr>
  </w:style>
  <w:style w:type="character" w:customStyle="1" w:styleId="60">
    <w:name w:val="日期 Char1"/>
    <w:basedOn w:val="27"/>
    <w:link w:val="12"/>
    <w:autoRedefine/>
    <w:qFormat/>
    <w:uiPriority w:val="0"/>
    <w:rPr>
      <w:rFonts w:ascii="Calibri" w:hAnsi="Calibri"/>
      <w:kern w:val="2"/>
      <w:sz w:val="21"/>
      <w:szCs w:val="24"/>
    </w:rPr>
  </w:style>
  <w:style w:type="character" w:customStyle="1" w:styleId="61">
    <w:name w:val="批注文字 Char1"/>
    <w:basedOn w:val="27"/>
    <w:link w:val="7"/>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5"/>
    <w:autoRedefine/>
    <w:qFormat/>
    <w:uiPriority w:val="0"/>
    <w:rPr>
      <w:rFonts w:ascii="Calibri" w:hAnsi="Calibri"/>
      <w:kern w:val="2"/>
      <w:sz w:val="18"/>
      <w:szCs w:val="18"/>
    </w:rPr>
  </w:style>
  <w:style w:type="character" w:customStyle="1" w:styleId="70">
    <w:name w:val="批注框文本 Char1"/>
    <w:basedOn w:val="27"/>
    <w:link w:val="14"/>
    <w:autoRedefine/>
    <w:qFormat/>
    <w:uiPriority w:val="0"/>
    <w:rPr>
      <w:rFonts w:ascii="Calibri" w:hAnsi="Calibri"/>
      <w:kern w:val="2"/>
      <w:sz w:val="18"/>
      <w:szCs w:val="18"/>
    </w:rPr>
  </w:style>
  <w:style w:type="character" w:customStyle="1" w:styleId="71">
    <w:name w:val="纯文本 Char2"/>
    <w:basedOn w:val="27"/>
    <w:link w:val="11"/>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styleId="80">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font11"/>
    <w:basedOn w:val="27"/>
    <w:qFormat/>
    <w:uiPriority w:val="0"/>
    <w:rPr>
      <w:rFonts w:hint="eastAsia" w:ascii="宋体" w:hAnsi="宋体" w:eastAsia="宋体" w:cs="宋体"/>
      <w:b/>
      <w:bCs/>
      <w:color w:val="000000"/>
      <w:sz w:val="24"/>
      <w:szCs w:val="24"/>
      <w:u w:val="none"/>
    </w:rPr>
  </w:style>
  <w:style w:type="character" w:customStyle="1" w:styleId="82">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7956</Words>
  <Characters>8718</Characters>
  <Lines>102</Lines>
  <Paragraphs>28</Paragraphs>
  <TotalTime>27</TotalTime>
  <ScaleCrop>false</ScaleCrop>
  <LinksUpToDate>false</LinksUpToDate>
  <CharactersWithSpaces>10207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2024-10-11T07:38:54Z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F43260EA7D044F58AE47754BF9C4C356</vt:lpwstr>
  </property>
</Properties>
</file>